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color w:val="auto"/>
          <w:sz w:val="32"/>
          <w:szCs w:val="20"/>
          <w:lang w:val="en-US" w:eastAsia="zh-CN"/>
        </w:rPr>
      </w:pPr>
      <w:bookmarkStart w:id="0" w:name="OLE_LINK6"/>
      <w:bookmarkStart w:id="1" w:name="OLE_LINK5"/>
      <w:r>
        <w:rPr>
          <w:rFonts w:ascii="Arial" w:hAnsi="Arial" w:eastAsia="宋体" w:cs="Times New Roman"/>
          <w:b/>
          <w:bCs/>
          <w:sz w:val="24"/>
          <w:szCs w:val="20"/>
        </w:rPr>
        <w:t>3GPP T</w:t>
      </w:r>
      <w:bookmarkStart w:id="2" w:name="_Ref452454252"/>
      <w:bookmarkEnd w:id="2"/>
      <w:r>
        <w:rPr>
          <w:rFonts w:ascii="Arial" w:hAnsi="Arial" w:eastAsia="宋体" w:cs="Times New Roman"/>
          <w:b/>
          <w:bCs/>
          <w:sz w:val="24"/>
          <w:szCs w:val="20"/>
        </w:rPr>
        <w:t xml:space="preserve">SG-RAN </w:t>
      </w:r>
      <w:r>
        <w:rPr>
          <w:rFonts w:ascii="Arial" w:hAnsi="Arial" w:eastAsia="宋体" w:cs="Times New Roman"/>
          <w:b/>
          <w:sz w:val="24"/>
          <w:szCs w:val="20"/>
        </w:rPr>
        <w:t>WG4 Meeting #10</w:t>
      </w:r>
      <w:r>
        <w:rPr>
          <w:rFonts w:hint="eastAsia" w:ascii="Arial" w:hAnsi="Arial" w:eastAsia="宋体" w:cs="Times New Roman"/>
          <w:b/>
          <w:sz w:val="24"/>
          <w:szCs w:val="20"/>
          <w:lang w:val="en-US" w:eastAsia="zh-CN"/>
        </w:rPr>
        <w:t>6</w:t>
      </w:r>
      <w:r>
        <w:rPr>
          <w:rFonts w:ascii="Arial" w:hAnsi="Arial" w:eastAsia="宋体" w:cs="Times New Roman"/>
          <w:b/>
          <w:bCs/>
          <w:sz w:val="24"/>
          <w:szCs w:val="20"/>
        </w:rPr>
        <w:tab/>
      </w:r>
      <w:r>
        <w:rPr>
          <w:rFonts w:ascii="Arial" w:hAnsi="Arial" w:eastAsia="宋体" w:cs="Times New Roman"/>
          <w:b/>
          <w:bCs/>
          <w:sz w:val="24"/>
          <w:szCs w:val="20"/>
          <w:lang w:eastAsia="ja-JP"/>
        </w:rPr>
        <w:t>R4-</w:t>
      </w:r>
      <w:r>
        <w:rPr>
          <w:rFonts w:hint="eastAsia" w:ascii="Arial" w:hAnsi="Arial" w:eastAsia="宋体" w:cs="Times New Roman"/>
          <w:b/>
          <w:bCs/>
          <w:sz w:val="24"/>
          <w:szCs w:val="20"/>
          <w:lang w:val="en-US" w:eastAsia="zh-CN"/>
        </w:rPr>
        <w:t>2301387</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0"/>
          <w:lang w:val="en-US" w:eastAsia="zh-CN"/>
        </w:rPr>
      </w:pPr>
      <w:r>
        <w:rPr>
          <w:rFonts w:hint="eastAsia" w:ascii="Arial" w:hAnsi="Arial" w:eastAsia="宋体" w:cs="Times New Roman"/>
          <w:b/>
          <w:sz w:val="24"/>
          <w:szCs w:val="20"/>
          <w:lang w:val="en-US" w:eastAsia="zh-CN"/>
        </w:rPr>
        <w:t>Greece, Athens</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February</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27</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March3</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202</w:t>
      </w:r>
      <w:r>
        <w:rPr>
          <w:rFonts w:hint="eastAsia" w:ascii="Arial" w:hAnsi="Arial" w:eastAsia="宋体" w:cs="Times New Roman"/>
          <w:b/>
          <w:sz w:val="24"/>
          <w:szCs w:val="20"/>
          <w:lang w:val="en-US" w:eastAsia="zh-CN"/>
        </w:rPr>
        <w:t>3</w:t>
      </w:r>
    </w:p>
    <w:bookmarkEnd w:id="0"/>
    <w:bookmarkEnd w:id="1"/>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ascii="Arial" w:hAnsi="Arial" w:eastAsia="宋体"/>
          <w:b/>
          <w:sz w:val="24"/>
          <w:lang w:val="en-US" w:eastAsia="zh-CN"/>
        </w:rPr>
        <w:t xml:space="preserve">Discussion on RRM impacts due to support intra-band non-collocated </w:t>
      </w:r>
      <w:r>
        <w:rPr>
          <w:rFonts w:hint="eastAsia" w:ascii="Arial" w:hAnsi="Arial" w:eastAsia="宋体"/>
          <w:b/>
          <w:sz w:val="24"/>
          <w:lang w:val="en-US" w:eastAsia="zh-CN"/>
        </w:rPr>
        <w:t>EN-</w:t>
      </w:r>
      <w:r>
        <w:rPr>
          <w:rFonts w:ascii="Arial" w:hAnsi="Arial" w:eastAsia="宋体"/>
          <w:b/>
          <w:sz w:val="24"/>
          <w:lang w:val="en-US" w:eastAsia="zh-CN"/>
        </w:rPr>
        <w:t>DC</w:t>
      </w:r>
      <w:r>
        <w:rPr>
          <w:rFonts w:hint="eastAsia" w:ascii="Arial" w:hAnsi="Arial" w:eastAsia="宋体"/>
          <w:b/>
          <w:sz w:val="24"/>
          <w:lang w:val="en-US" w:eastAsia="zh-CN"/>
        </w:rPr>
        <w:t>/NR-CA</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9.11.3</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5"/>
        <w:rPr>
          <w:lang w:val="en-US"/>
        </w:rPr>
      </w:pPr>
      <w:r>
        <w:rPr>
          <w:lang w:val="en-US"/>
        </w:rPr>
        <w:t>Intro</w:t>
      </w:r>
      <w:r>
        <w:rPr>
          <w:rStyle w:val="76"/>
          <w:lang w:val="en-US"/>
        </w:rPr>
        <w:t>ductio</w:t>
      </w:r>
      <w:r>
        <w:rPr>
          <w:lang w:val="en-US"/>
        </w:rPr>
        <w:t>n</w:t>
      </w:r>
    </w:p>
    <w:p>
      <w:pPr>
        <w:keepNext w:val="0"/>
        <w:keepLines w:val="0"/>
        <w:pageBreakBefore w:val="0"/>
        <w:widowControl/>
        <w:kinsoku/>
        <w:wordWrap/>
        <w:overflowPunct/>
        <w:topLinePunct w:val="0"/>
        <w:autoSpaceDE/>
        <w:autoSpaceDN/>
        <w:bidi w:val="0"/>
        <w:adjustRightInd w:val="0"/>
        <w:snapToGrid w:val="0"/>
        <w:spacing w:before="180" w:after="120" w:line="360" w:lineRule="auto"/>
        <w:textAlignment w:val="auto"/>
        <w:rPr>
          <w:rFonts w:eastAsia="宋体"/>
          <w:sz w:val="22"/>
          <w:lang w:eastAsia="zh-CN"/>
        </w:rPr>
      </w:pPr>
      <w:r>
        <w:rPr>
          <w:rFonts w:eastAsia="宋体"/>
          <w:sz w:val="22"/>
          <w:lang w:eastAsia="zh-CN"/>
        </w:rPr>
        <w:t>In R18, new WI [1] for support of intra-band non-collocated EN-DC/NR-CA deployment was approved, and the objectives of this WI are described as follows: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widowControl w:val="0"/>
              <w:numPr>
                <w:ilvl w:val="0"/>
                <w:numId w:val="3"/>
              </w:numPr>
              <w:autoSpaceDN w:val="0"/>
              <w:spacing w:after="0"/>
              <w:jc w:val="both"/>
              <w:rPr>
                <w:kern w:val="2"/>
                <w:lang w:val="en-US" w:eastAsia="zh-CN"/>
              </w:rPr>
            </w:pPr>
            <w:r>
              <w:rPr>
                <w:kern w:val="2"/>
                <w:lang w:val="en-US" w:eastAsia="zh-CN"/>
              </w:rPr>
              <w:t>Phase I:</w:t>
            </w:r>
          </w:p>
          <w:p>
            <w:pPr>
              <w:widowControl w:val="0"/>
              <w:numPr>
                <w:ilvl w:val="1"/>
                <w:numId w:val="3"/>
              </w:numPr>
              <w:autoSpaceDN w:val="0"/>
              <w:spacing w:after="0"/>
              <w:jc w:val="both"/>
              <w:rPr>
                <w:kern w:val="2"/>
                <w:lang w:val="en-US" w:eastAsia="zh-CN"/>
              </w:rPr>
            </w:pPr>
            <w:r>
              <w:rPr>
                <w:kern w:val="2"/>
                <w:lang w:val="en-US" w:eastAsia="zh-CN"/>
              </w:rPr>
              <w:t>Study the feasibility to support non-co-located scenario</w:t>
            </w:r>
            <w:r>
              <w:rPr>
                <w:rFonts w:hint="eastAsia"/>
                <w:kern w:val="2"/>
                <w:lang w:val="en-US"/>
              </w:rPr>
              <w:t>s</w:t>
            </w:r>
            <w:r>
              <w:rPr>
                <w:kern w:val="2"/>
                <w:lang w:val="en-US" w:eastAsia="zh-CN"/>
              </w:rPr>
              <w:t xml:space="preserve"> for both FR1 inter-band EN-DC with overlapping and FR1 intra-band NR-CA, except for 2-layer case of EN-DC with supporting the UE capability of interBandMRDC-WithOverlapDL-Bands-r16 already specified in Rel-16 and Rel-17</w:t>
            </w:r>
          </w:p>
          <w:p>
            <w:pPr>
              <w:widowControl w:val="0"/>
              <w:numPr>
                <w:ilvl w:val="2"/>
                <w:numId w:val="3"/>
              </w:numPr>
              <w:autoSpaceDN w:val="0"/>
              <w:spacing w:after="0"/>
              <w:jc w:val="both"/>
              <w:rPr>
                <w:kern w:val="2"/>
                <w:lang w:val="en-US" w:eastAsia="zh-CN"/>
              </w:rPr>
            </w:pPr>
            <w:r>
              <w:rPr>
                <w:kern w:val="2"/>
                <w:lang w:val="en-US" w:eastAsia="zh-CN"/>
              </w:rPr>
              <w:t>Investigate the tolerable power imbalance between carriers</w:t>
            </w:r>
          </w:p>
          <w:p>
            <w:pPr>
              <w:widowControl w:val="0"/>
              <w:numPr>
                <w:ilvl w:val="2"/>
                <w:numId w:val="3"/>
              </w:numPr>
              <w:autoSpaceDN w:val="0"/>
              <w:spacing w:after="0"/>
              <w:jc w:val="both"/>
              <w:rPr>
                <w:kern w:val="2"/>
                <w:lang w:val="en-US" w:eastAsia="zh-CN"/>
              </w:rPr>
            </w:pPr>
            <w:r>
              <w:rPr>
                <w:kern w:val="2"/>
                <w:lang w:val="en-US" w:eastAsia="zh-CN"/>
              </w:rPr>
              <w:t>Investigate the required arrival time difference between CCs</w:t>
            </w:r>
          </w:p>
          <w:p>
            <w:pPr>
              <w:widowControl w:val="0"/>
              <w:numPr>
                <w:ilvl w:val="2"/>
                <w:numId w:val="3"/>
              </w:numPr>
              <w:autoSpaceDN w:val="0"/>
              <w:spacing w:after="0"/>
              <w:jc w:val="both"/>
              <w:rPr>
                <w:kern w:val="2"/>
                <w:lang w:val="en-US" w:eastAsia="zh-CN"/>
              </w:rPr>
            </w:pPr>
            <w:r>
              <w:rPr>
                <w:kern w:val="2"/>
                <w:lang w:val="en-US" w:eastAsia="zh-CN"/>
              </w:rPr>
              <w:t>Evaluate the UE performance under the power imbalance and arrival time difference</w:t>
            </w:r>
          </w:p>
          <w:p>
            <w:pPr>
              <w:widowControl w:val="0"/>
              <w:numPr>
                <w:ilvl w:val="3"/>
                <w:numId w:val="3"/>
              </w:numPr>
              <w:autoSpaceDN w:val="0"/>
              <w:spacing w:after="0"/>
              <w:jc w:val="both"/>
              <w:rPr>
                <w:kern w:val="2"/>
                <w:lang w:val="en-US" w:eastAsia="zh-CN"/>
              </w:rPr>
            </w:pPr>
            <w:r>
              <w:rPr>
                <w:kern w:val="2"/>
                <w:lang w:val="en-US" w:eastAsia="zh-CN"/>
              </w:rPr>
              <w:t>Discuss and decide reference UE architecture considering the UE capability of interBandMRDC-WithOverlapDL-Bands-r16 for 2-layer MIMO case for NR-CA, and 4-layer MIMO case for both EN-DC/NR-CA</w:t>
            </w:r>
          </w:p>
          <w:p>
            <w:pPr>
              <w:widowControl w:val="0"/>
              <w:numPr>
                <w:ilvl w:val="2"/>
                <w:numId w:val="3"/>
              </w:numPr>
              <w:autoSpaceDN w:val="0"/>
              <w:spacing w:after="0"/>
              <w:jc w:val="both"/>
              <w:rPr>
                <w:kern w:val="2"/>
                <w:lang w:val="en-US" w:eastAsia="zh-CN"/>
              </w:rPr>
            </w:pPr>
            <w:r>
              <w:rPr>
                <w:kern w:val="2"/>
                <w:lang w:val="en-US" w:eastAsia="zh-CN"/>
              </w:rPr>
              <w:t>Work is limited to CA/EN-DC for EN-DC/NR-CA for bands 42, n77/n78</w:t>
            </w:r>
          </w:p>
          <w:p>
            <w:pPr>
              <w:widowControl w:val="0"/>
              <w:numPr>
                <w:ilvl w:val="2"/>
                <w:numId w:val="3"/>
              </w:numPr>
              <w:autoSpaceDN w:val="0"/>
              <w:spacing w:after="0"/>
              <w:jc w:val="both"/>
              <w:rPr>
                <w:kern w:val="2"/>
                <w:lang w:val="en-US" w:eastAsia="zh-CN"/>
              </w:rPr>
            </w:pPr>
            <w:r>
              <w:rPr>
                <w:kern w:val="2"/>
                <w:lang w:val="en-US" w:eastAsia="zh-CN"/>
              </w:rPr>
              <w:t>Investigate whether the power imbalance should be explicitly (e.g. as an RF requirement) or implicitly specified (e.g. through a demodulation performance test). Specify the power imbalance based on the outcome of the investigation.</w:t>
            </w:r>
          </w:p>
          <w:p>
            <w:pPr>
              <w:widowControl w:val="0"/>
              <w:numPr>
                <w:ilvl w:val="2"/>
                <w:numId w:val="3"/>
              </w:numPr>
              <w:autoSpaceDN w:val="0"/>
              <w:spacing w:after="0"/>
              <w:jc w:val="both"/>
              <w:rPr>
                <w:kern w:val="2"/>
                <w:lang w:val="en-US" w:eastAsia="zh-CN"/>
              </w:rPr>
            </w:pPr>
            <w:r>
              <w:rPr>
                <w:kern w:val="2"/>
                <w:lang w:val="en-US" w:eastAsia="zh-CN"/>
              </w:rPr>
              <w:t>If any change in RAN1 or RAN2 spec is needed, it will be triggered by RAN4 LS</w:t>
            </w:r>
          </w:p>
          <w:p>
            <w:pPr>
              <w:widowControl w:val="0"/>
              <w:numPr>
                <w:ilvl w:val="2"/>
                <w:numId w:val="3"/>
              </w:numPr>
              <w:autoSpaceDN w:val="0"/>
              <w:spacing w:after="0"/>
              <w:jc w:val="both"/>
              <w:rPr>
                <w:kern w:val="2"/>
                <w:lang w:val="en-US" w:eastAsia="zh-CN"/>
              </w:rPr>
            </w:pPr>
            <w:r>
              <w:rPr>
                <w:kern w:val="2"/>
                <w:lang w:val="en-US" w:eastAsia="zh-CN"/>
              </w:rPr>
              <w:t>NOTE: Revisit whether or not to study the feasibility for support of 4Rx chains with up to 4-layer MIMO at RAN#97. This 4-layer is only for DL in Rel-18.</w:t>
            </w:r>
          </w:p>
          <w:p>
            <w:pPr>
              <w:widowControl w:val="0"/>
              <w:numPr>
                <w:ilvl w:val="2"/>
                <w:numId w:val="3"/>
              </w:numPr>
              <w:autoSpaceDN w:val="0"/>
              <w:spacing w:after="0"/>
              <w:jc w:val="both"/>
              <w:rPr>
                <w:kern w:val="2"/>
                <w:lang w:val="en-US" w:eastAsia="zh-CN"/>
              </w:rPr>
            </w:pPr>
            <w:r>
              <w:rPr>
                <w:kern w:val="2"/>
                <w:lang w:val="en-US" w:eastAsia="zh-CN"/>
              </w:rPr>
              <w:t xml:space="preserve">NOTE: Revisit whether or not to study the technical solutions can be applied to EN-DC case regardless of band contiguity at RAN#97. </w:t>
            </w:r>
          </w:p>
          <w:p>
            <w:pPr>
              <w:widowControl w:val="0"/>
              <w:numPr>
                <w:ilvl w:val="0"/>
                <w:numId w:val="3"/>
              </w:numPr>
              <w:autoSpaceDN w:val="0"/>
              <w:spacing w:after="0"/>
              <w:jc w:val="both"/>
              <w:rPr>
                <w:kern w:val="2"/>
                <w:lang w:val="en-US" w:eastAsia="zh-CN"/>
              </w:rPr>
            </w:pPr>
            <w:r>
              <w:rPr>
                <w:kern w:val="2"/>
                <w:lang w:val="en-US" w:eastAsia="zh-CN"/>
              </w:rPr>
              <w:t xml:space="preserve">Phase II: </w:t>
            </w:r>
          </w:p>
          <w:p>
            <w:pPr>
              <w:widowControl w:val="0"/>
              <w:numPr>
                <w:ilvl w:val="1"/>
                <w:numId w:val="3"/>
              </w:numPr>
              <w:autoSpaceDN w:val="0"/>
              <w:spacing w:after="0"/>
              <w:jc w:val="both"/>
              <w:rPr>
                <w:kern w:val="2"/>
                <w:lang w:val="en-US" w:eastAsia="zh-CN"/>
              </w:rPr>
            </w:pPr>
            <w:r>
              <w:rPr>
                <w:kern w:val="2"/>
                <w:lang w:val="en-US" w:eastAsia="zh-CN"/>
              </w:rPr>
              <w:t>Phase II work will get started after the feasibility in phase I is confirmed</w:t>
            </w:r>
          </w:p>
          <w:p>
            <w:pPr>
              <w:widowControl w:val="0"/>
              <w:numPr>
                <w:ilvl w:val="1"/>
                <w:numId w:val="3"/>
              </w:numPr>
              <w:autoSpaceDN w:val="0"/>
              <w:spacing w:after="0"/>
              <w:jc w:val="both"/>
              <w:rPr>
                <w:kern w:val="2"/>
                <w:highlight w:val="none"/>
                <w:lang w:val="en-US" w:eastAsia="zh-CN"/>
              </w:rPr>
            </w:pPr>
            <w:r>
              <w:rPr>
                <w:kern w:val="2"/>
                <w:highlight w:val="none"/>
                <w:lang w:val="en-US" w:eastAsia="zh-CN"/>
              </w:rPr>
              <w:t>Specify MRTD and MTTD requirements in non-collocated deployment</w:t>
            </w:r>
          </w:p>
          <w:p>
            <w:pPr>
              <w:widowControl w:val="0"/>
              <w:numPr>
                <w:ilvl w:val="1"/>
                <w:numId w:val="3"/>
              </w:numPr>
              <w:autoSpaceDN w:val="0"/>
              <w:spacing w:after="0"/>
              <w:jc w:val="both"/>
              <w:rPr>
                <w:kern w:val="2"/>
                <w:lang w:val="en-US" w:eastAsia="zh-CN"/>
              </w:rPr>
            </w:pPr>
            <w:r>
              <w:rPr>
                <w:kern w:val="2"/>
                <w:lang w:val="en-US" w:eastAsia="zh-CN"/>
              </w:rPr>
              <w:t>Discuss and decide if the different requirements will be specified based on UE capability of interBandMRDC-WIthOverlapDL-Bands-r16.</w:t>
            </w:r>
          </w:p>
        </w:tc>
      </w:tr>
    </w:tbl>
    <w:p>
      <w:pPr>
        <w:adjustRightInd w:val="0"/>
        <w:snapToGrid w:val="0"/>
        <w:spacing w:before="180" w:after="120"/>
        <w:rPr>
          <w:rFonts w:eastAsia="宋体"/>
          <w:sz w:val="22"/>
          <w:lang w:eastAsia="zh-CN"/>
        </w:rPr>
      </w:pPr>
      <w:r>
        <w:rPr>
          <w:rFonts w:eastAsia="宋体"/>
          <w:sz w:val="22"/>
          <w:lang w:eastAsia="zh-CN"/>
        </w:rPr>
        <w:t>In this contribution, we will provide the discussion on MRTD</w:t>
      </w:r>
      <w:r>
        <w:rPr>
          <w:rFonts w:hint="eastAsia" w:eastAsia="宋体"/>
          <w:sz w:val="22"/>
          <w:lang w:val="en-US" w:eastAsia="zh-CN"/>
        </w:rPr>
        <w:t xml:space="preserve"> </w:t>
      </w:r>
      <w:r>
        <w:rPr>
          <w:rFonts w:eastAsia="宋体"/>
          <w:sz w:val="22"/>
          <w:lang w:eastAsia="zh-CN"/>
        </w:rPr>
        <w:t xml:space="preserve"> requirements for FR1 intra-band EN-DC in non-collocated deployment.</w:t>
      </w:r>
    </w:p>
    <w:p>
      <w:pPr>
        <w:pStyle w:val="75"/>
        <w:rPr>
          <w:rFonts w:hint="default" w:eastAsia="宋体"/>
          <w:lang w:val="en-US" w:eastAsia="zh-CN"/>
        </w:rPr>
      </w:pPr>
      <w:r>
        <w:rPr>
          <w:lang w:val="en-US"/>
        </w:rPr>
        <w:t>Discussion</w:t>
      </w:r>
    </w:p>
    <w:p>
      <w:pPr>
        <w:pStyle w:val="80"/>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i w:val="0"/>
          <w:color w:val="000000"/>
          <w:sz w:val="22"/>
          <w:szCs w:val="22"/>
          <w:lang w:val="en-US" w:eastAsia="zh-CN"/>
        </w:rPr>
      </w:pPr>
      <w:r>
        <w:rPr>
          <w:rFonts w:hint="eastAsia" w:hAnsi="Cambria Math"/>
          <w:i w:val="0"/>
          <w:color w:val="000000"/>
          <w:sz w:val="22"/>
          <w:szCs w:val="22"/>
          <w:lang w:val="en-US" w:eastAsia="zh-CN"/>
        </w:rPr>
        <w:t>In the last meeting, we have reached several agreements: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1-2-1: MRTD/MTTD requirements for non-collocated FR1 intra-band non-contiguous NR-CA for Type 2 UE</w:t>
            </w:r>
          </w:p>
          <w:p>
            <w:pPr>
              <w:pStyle w:val="71"/>
              <w:numPr>
                <w:ilvl w:val="0"/>
                <w:numId w:val="4"/>
              </w:numPr>
              <w:spacing w:after="120"/>
              <w:ind w:left="720"/>
              <w:contextualSpacing w:val="0"/>
              <w:rPr>
                <w:rFonts w:eastAsia="宋体"/>
                <w:color w:val="000000" w:themeColor="text1"/>
                <w:highlight w:val="green"/>
                <w:lang w:eastAsia="zh-CN"/>
                <w14:textFill>
                  <w14:solidFill>
                    <w14:schemeClr w14:val="tx1"/>
                  </w14:solidFill>
                </w14:textFill>
              </w:rPr>
            </w:pPr>
            <w:r>
              <w:rPr>
                <w:rFonts w:eastAsia="宋体"/>
                <w:color w:val="000000" w:themeColor="text1"/>
                <w:highlight w:val="green"/>
                <w:lang w:eastAsia="zh-CN"/>
                <w14:textFill>
                  <w14:solidFill>
                    <w14:schemeClr w14:val="tx1"/>
                  </w14:solidFill>
                </w14:textFill>
              </w:rPr>
              <w:t>Agreements</w:t>
            </w:r>
          </w:p>
          <w:p>
            <w:pPr>
              <w:pStyle w:val="71"/>
              <w:numPr>
                <w:ilvl w:val="1"/>
                <w:numId w:val="4"/>
              </w:numPr>
              <w:spacing w:after="120"/>
              <w:ind w:left="1440"/>
              <w:contextualSpacing w:val="0"/>
              <w:rPr>
                <w:rFonts w:eastAsia="宋体"/>
                <w:color w:val="000000" w:themeColor="text1"/>
                <w:highlight w:val="green"/>
                <w:lang w:val="en-US" w:eastAsia="zh-CN"/>
                <w14:textFill>
                  <w14:solidFill>
                    <w14:schemeClr w14:val="tx1"/>
                  </w14:solidFill>
                </w14:textFill>
              </w:rPr>
            </w:pPr>
            <w:r>
              <w:rPr>
                <w:rFonts w:eastAsia="宋体"/>
                <w:color w:val="000000" w:themeColor="text1"/>
                <w:highlight w:val="green"/>
                <w:lang w:val="en-US" w:eastAsia="zh-CN"/>
                <w14:textFill>
                  <w14:solidFill>
                    <w14:schemeClr w14:val="tx1"/>
                  </w14:solidFill>
                </w14:textFill>
              </w:rPr>
              <w:t>MRTD/MTTD requirements for non-collocated FR1 intra-band non-contiguous NR-CA for Type 2 UE</w:t>
            </w:r>
          </w:p>
          <w:p>
            <w:pPr>
              <w:pStyle w:val="71"/>
              <w:numPr>
                <w:ilvl w:val="2"/>
                <w:numId w:val="4"/>
              </w:numPr>
              <w:spacing w:after="120"/>
              <w:contextualSpacing w:val="0"/>
              <w:rPr>
                <w:rFonts w:eastAsia="宋体"/>
                <w:color w:val="000000" w:themeColor="text1"/>
                <w:highlight w:val="green"/>
                <w:lang w:val="en-US" w:eastAsia="zh-CN"/>
                <w14:textFill>
                  <w14:solidFill>
                    <w14:schemeClr w14:val="tx1"/>
                  </w14:solidFill>
                </w14:textFill>
              </w:rPr>
            </w:pPr>
            <w:r>
              <w:rPr>
                <w:rFonts w:eastAsia="宋体"/>
                <w:color w:val="000000" w:themeColor="text1"/>
                <w:highlight w:val="green"/>
                <w:lang w:val="en-US" w:eastAsia="zh-CN"/>
                <w14:textFill>
                  <w14:solidFill>
                    <w14:schemeClr w14:val="tx1"/>
                  </w14:solidFill>
                </w14:textFill>
              </w:rPr>
              <w:t>MRTD=33us</w:t>
            </w:r>
          </w:p>
          <w:p>
            <w:pPr>
              <w:pStyle w:val="71"/>
              <w:numPr>
                <w:ilvl w:val="2"/>
                <w:numId w:val="4"/>
              </w:numPr>
              <w:spacing w:after="120"/>
              <w:contextualSpacing w:val="0"/>
              <w:rPr>
                <w:rFonts w:eastAsia="宋体"/>
                <w:color w:val="000000" w:themeColor="text1"/>
                <w:highlight w:val="green"/>
                <w:lang w:val="en-US" w:eastAsia="zh-CN"/>
                <w14:textFill>
                  <w14:solidFill>
                    <w14:schemeClr w14:val="tx1"/>
                  </w14:solidFill>
                </w14:textFill>
              </w:rPr>
            </w:pPr>
            <w:r>
              <w:rPr>
                <w:rFonts w:eastAsia="宋体"/>
                <w:color w:val="000000" w:themeColor="text1"/>
                <w:highlight w:val="green"/>
                <w:lang w:val="en-US" w:eastAsia="zh-CN"/>
                <w14:textFill>
                  <w14:solidFill>
                    <w14:schemeClr w14:val="tx1"/>
                  </w14:solidFill>
                </w14:textFill>
              </w:rPr>
              <w:t>MTTD=34.6us</w:t>
            </w:r>
          </w:p>
          <w:p>
            <w:pPr>
              <w:spacing w:after="120"/>
              <w:rPr>
                <w:rFonts w:eastAsia="宋体"/>
                <w:sz w:val="22"/>
                <w:lang w:val="en-US" w:eastAsia="zh-CN"/>
              </w:rPr>
            </w:pP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1-2-2: MRTD/MTTD requirements for non-collocated FR1 inter-band synchronous EN-DC with overlapping DL bands for Type 2 UE</w:t>
            </w:r>
          </w:p>
          <w:p>
            <w:pPr>
              <w:pStyle w:val="71"/>
              <w:numPr>
                <w:ilvl w:val="0"/>
                <w:numId w:val="4"/>
              </w:numPr>
              <w:spacing w:after="120"/>
              <w:ind w:left="720"/>
              <w:contextualSpacing w:val="0"/>
              <w:rPr>
                <w:rFonts w:eastAsia="宋体"/>
                <w:color w:val="000000" w:themeColor="text1"/>
                <w:highlight w:val="green"/>
                <w:lang w:eastAsia="zh-CN"/>
                <w14:textFill>
                  <w14:solidFill>
                    <w14:schemeClr w14:val="tx1"/>
                  </w14:solidFill>
                </w14:textFill>
              </w:rPr>
            </w:pPr>
            <w:r>
              <w:rPr>
                <w:rFonts w:eastAsia="宋体"/>
                <w:color w:val="000000" w:themeColor="text1"/>
                <w:highlight w:val="green"/>
                <w:lang w:eastAsia="zh-CN"/>
                <w14:textFill>
                  <w14:solidFill>
                    <w14:schemeClr w14:val="tx1"/>
                  </w14:solidFill>
                </w14:textFill>
              </w:rPr>
              <w:t>Agreements</w:t>
            </w:r>
          </w:p>
          <w:p>
            <w:pPr>
              <w:pStyle w:val="71"/>
              <w:numPr>
                <w:ilvl w:val="1"/>
                <w:numId w:val="4"/>
              </w:numPr>
              <w:spacing w:after="120"/>
              <w:ind w:left="1440"/>
              <w:contextualSpacing w:val="0"/>
              <w:rPr>
                <w:rFonts w:eastAsia="宋体"/>
                <w:color w:val="000000" w:themeColor="text1"/>
                <w:highlight w:val="green"/>
                <w:lang w:val="en-US" w:eastAsia="zh-CN"/>
                <w14:textFill>
                  <w14:solidFill>
                    <w14:schemeClr w14:val="tx1"/>
                  </w14:solidFill>
                </w14:textFill>
              </w:rPr>
            </w:pPr>
            <w:r>
              <w:rPr>
                <w:rFonts w:eastAsia="宋体"/>
                <w:color w:val="000000" w:themeColor="text1"/>
                <w:highlight w:val="green"/>
                <w:lang w:val="en-US" w:eastAsia="zh-CN"/>
                <w14:textFill>
                  <w14:solidFill>
                    <w14:schemeClr w14:val="tx1"/>
                  </w14:solidFill>
                </w14:textFill>
              </w:rPr>
              <w:t>MRTD/MTTD requirements for non-collocated FR1 inter-band synchronous EN-DC with overlapping DL bands for Type 2 UE</w:t>
            </w:r>
          </w:p>
          <w:p>
            <w:pPr>
              <w:pStyle w:val="71"/>
              <w:numPr>
                <w:ilvl w:val="2"/>
                <w:numId w:val="4"/>
              </w:numPr>
              <w:spacing w:after="120"/>
              <w:contextualSpacing w:val="0"/>
              <w:rPr>
                <w:rFonts w:eastAsia="宋体"/>
                <w:color w:val="000000" w:themeColor="text1"/>
                <w:highlight w:val="green"/>
                <w:lang w:val="en-US" w:eastAsia="zh-CN"/>
                <w14:textFill>
                  <w14:solidFill>
                    <w14:schemeClr w14:val="tx1"/>
                  </w14:solidFill>
                </w14:textFill>
              </w:rPr>
            </w:pPr>
            <w:r>
              <w:rPr>
                <w:rFonts w:eastAsia="宋体"/>
                <w:color w:val="000000" w:themeColor="text1"/>
                <w:highlight w:val="green"/>
                <w:lang w:val="en-US" w:eastAsia="zh-CN"/>
                <w14:textFill>
                  <w14:solidFill>
                    <w14:schemeClr w14:val="tx1"/>
                  </w14:solidFill>
                </w14:textFill>
              </w:rPr>
              <w:t>MRTD=33us</w:t>
            </w:r>
          </w:p>
          <w:p>
            <w:pPr>
              <w:pStyle w:val="71"/>
              <w:numPr>
                <w:ilvl w:val="2"/>
                <w:numId w:val="4"/>
              </w:numPr>
              <w:spacing w:after="120"/>
              <w:contextualSpacing w:val="0"/>
              <w:rPr>
                <w:rFonts w:eastAsia="宋体"/>
                <w:color w:val="000000" w:themeColor="text1"/>
                <w:highlight w:val="green"/>
                <w:lang w:val="en-US" w:eastAsia="zh-CN"/>
                <w14:textFill>
                  <w14:solidFill>
                    <w14:schemeClr w14:val="tx1"/>
                  </w14:solidFill>
                </w14:textFill>
              </w:rPr>
            </w:pPr>
            <w:r>
              <w:rPr>
                <w:rFonts w:eastAsia="宋体"/>
                <w:color w:val="000000" w:themeColor="text1"/>
                <w:highlight w:val="green"/>
                <w:lang w:val="en-US" w:eastAsia="zh-CN"/>
                <w14:textFill>
                  <w14:solidFill>
                    <w14:schemeClr w14:val="tx1"/>
                  </w14:solidFill>
                </w14:textFill>
              </w:rPr>
              <w:t>MTTD=35.21us</w:t>
            </w:r>
          </w:p>
          <w:p>
            <w:pPr>
              <w:spacing w:after="120"/>
              <w:rPr>
                <w:rFonts w:eastAsia="宋体"/>
                <w:sz w:val="22"/>
                <w:lang w:val="en-US" w:eastAsia="zh-CN"/>
              </w:rPr>
            </w:pP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1-2-3: MRTD/MTTD requirements for non-collocated FR1 intra-band asynchronous NR-CA for Type 2 UE</w:t>
            </w:r>
          </w:p>
          <w:p>
            <w:pPr>
              <w:pStyle w:val="71"/>
              <w:numPr>
                <w:ilvl w:val="0"/>
                <w:numId w:val="4"/>
              </w:numPr>
              <w:spacing w:after="120"/>
              <w:ind w:left="720"/>
              <w:contextualSpacing w:val="0"/>
              <w:rPr>
                <w:rFonts w:eastAsia="宋体"/>
                <w:color w:val="000000" w:themeColor="text1"/>
                <w:lang w:eastAsia="zh-CN"/>
                <w14:textFill>
                  <w14:solidFill>
                    <w14:schemeClr w14:val="tx1"/>
                  </w14:solidFill>
                </w14:textFill>
              </w:rPr>
            </w:pPr>
            <w:r>
              <w:rPr>
                <w:rFonts w:eastAsia="宋体"/>
                <w:color w:val="000000" w:themeColor="text1"/>
                <w:lang w:eastAsia="zh-CN"/>
                <w14:textFill>
                  <w14:solidFill>
                    <w14:schemeClr w14:val="tx1"/>
                  </w14:solidFill>
                </w14:textFill>
              </w:rPr>
              <w:t>Proposals</w:t>
            </w:r>
          </w:p>
          <w:p>
            <w:pPr>
              <w:pStyle w:val="71"/>
              <w:numPr>
                <w:ilvl w:val="1"/>
                <w:numId w:val="4"/>
              </w:numPr>
              <w:spacing w:after="120"/>
              <w:ind w:left="1440"/>
              <w:contextualSpacing w:val="0"/>
              <w:rPr>
                <w:rFonts w:eastAsia="宋体"/>
                <w:color w:val="000000" w:themeColor="text1"/>
                <w:lang w:eastAsia="zh-CN"/>
                <w14:textFill>
                  <w14:solidFill>
                    <w14:schemeClr w14:val="tx1"/>
                  </w14:solidFill>
                </w14:textFill>
              </w:rPr>
            </w:pPr>
            <w:r>
              <w:rPr>
                <w:rFonts w:eastAsia="宋体"/>
                <w:color w:val="000000" w:themeColor="text1"/>
                <w:lang w:eastAsia="zh-CN"/>
                <w14:textFill>
                  <w14:solidFill>
                    <w14:schemeClr w14:val="tx1"/>
                  </w14:solidFill>
                </w14:textFill>
              </w:rPr>
              <w:t xml:space="preserve">Option 1: </w:t>
            </w:r>
          </w:p>
          <w:p>
            <w:pPr>
              <w:pStyle w:val="71"/>
              <w:numPr>
                <w:ilvl w:val="2"/>
                <w:numId w:val="4"/>
              </w:numPr>
              <w:spacing w:after="120"/>
              <w:contextualSpacing w:val="0"/>
              <w:rPr>
                <w:kern w:val="2"/>
                <w:lang w:val="en-US" w:eastAsia="zh-CN"/>
              </w:rPr>
            </w:pPr>
            <w:r>
              <w:rPr>
                <w:rFonts w:eastAsia="宋体"/>
                <w:color w:val="000000" w:themeColor="text1"/>
                <w:lang w:val="en-US" w:eastAsia="zh-CN"/>
                <w14:textFill>
                  <w14:solidFill>
                    <w14:schemeClr w14:val="tx1"/>
                  </w14:solidFill>
                </w14:textFill>
              </w:rPr>
              <w:t>Firstly focus on synchronous operation and revisit asynchronous operation topic after synchronous.</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highlight w:val="none"/>
          <w:lang w:val="en-US" w:eastAsia="zh-CN"/>
        </w:rPr>
      </w:pPr>
      <w:r>
        <w:rPr>
          <w:highlight w:val="none"/>
          <w:lang w:val="en-GB"/>
        </w:rPr>
        <w:t xml:space="preserve">The main difference between co-located deployment and non-collocated deployment will be the distance between the cells. </w:t>
      </w:r>
      <w:r>
        <w:rPr>
          <w:rFonts w:hint="eastAsia"/>
          <w:highlight w:val="none"/>
          <w:lang w:val="en-GB"/>
        </w:rPr>
        <w:t xml:space="preserve">For co-located </w:t>
      </w:r>
      <w:r>
        <w:rPr>
          <w:rFonts w:hint="eastAsia" w:eastAsia="宋体"/>
          <w:highlight w:val="none"/>
          <w:lang w:val="en-US" w:eastAsia="zh-CN"/>
        </w:rPr>
        <w:t>deployments</w:t>
      </w:r>
      <w:r>
        <w:rPr>
          <w:rFonts w:hint="eastAsia"/>
          <w:highlight w:val="none"/>
          <w:lang w:val="en-GB"/>
        </w:rPr>
        <w:t>, the cell</w:t>
      </w:r>
      <w:r>
        <w:rPr>
          <w:rFonts w:hint="eastAsia" w:eastAsia="宋体"/>
          <w:highlight w:val="none"/>
          <w:lang w:val="en-US" w:eastAsia="zh-CN"/>
        </w:rPr>
        <w:t>s</w:t>
      </w:r>
      <w:r>
        <w:rPr>
          <w:rFonts w:hint="eastAsia"/>
          <w:highlight w:val="none"/>
          <w:lang w:val="en-GB"/>
        </w:rPr>
        <w:t xml:space="preserve"> distribution distance is relatively close. The time difference or other errors caused by distance can be ignored; However, for non-collocated, there is no limit to the distance, as long as it is distributed within the coverage of FR1</w:t>
      </w:r>
      <w:r>
        <w:rPr>
          <w:rFonts w:hint="eastAsia" w:eastAsia="宋体"/>
          <w:highlight w:val="none"/>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highlight w:val="none"/>
          <w:lang w:val="en-US" w:eastAsia="zh-CN"/>
        </w:rPr>
      </w:pPr>
      <w:r>
        <w:rPr>
          <w:highlight w:val="none"/>
        </w:rPr>
        <w:t xml:space="preserve"> </w:t>
      </w:r>
      <w:r>
        <w:rPr>
          <w:highlight w:val="none"/>
          <w:lang w:eastAsia="zh-CN"/>
        </w:rPr>
        <w:t xml:space="preserve">MRTD is </w:t>
      </w:r>
      <w:r>
        <w:rPr>
          <w:highlight w:val="none"/>
        </w:rPr>
        <w:t>specified with the combination of BS TAE and the propagation delay difference among the cells. For collocated FR1 intra-band EN-DC or NR-CA, we ignore the impact caused by the propagation delay difference among cells since it is collocated deployment and the distance between the cells are very short, hence the MRTD for collocated FR1 intra-band EN-DC or NR-CA is specified to be equal to BS TAE</w:t>
      </w:r>
      <w:r>
        <w:rPr>
          <w:rFonts w:hint="eastAsia" w:eastAsia="宋体"/>
          <w:highlight w:val="none"/>
          <w:lang w:val="en-US" w:eastAsia="zh-CN"/>
        </w:rPr>
        <w:t xml:space="preserve"> as figure 1.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highlight w:val="none"/>
          <w:lang w:val="en-US" w:eastAsia="zh-CN"/>
        </w:rPr>
      </w:pPr>
      <w:r>
        <w:rPr>
          <w:highlight w:val="none"/>
        </w:rPr>
        <w:t xml:space="preserve">For non-collocated deployment, no matter it is FR1 inter-band or FR1 intra-band EN-DC or NR-CA, the distance between the cells in non-collocated deployment should be longer enough to fill FR1 cell coverage in theory. In NR, we assume 9km distance for FR1 cell coverage, the maximum propagation delay difference would be 30us to support 9km FR1 cell coverage.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eastAsia="宋体"/>
          <w:highlight w:val="none"/>
          <w:lang w:val="en-US" w:eastAsia="zh-CN"/>
        </w:rPr>
      </w:pPr>
      <w:r>
        <w:rPr>
          <w:rFonts w:hint="eastAsia" w:eastAsia="宋体"/>
          <w:highlight w:val="none"/>
          <w:lang w:val="en-US" w:eastAsia="zh-CN"/>
        </w:rPr>
        <w:drawing>
          <wp:inline distT="0" distB="0" distL="114300" distR="114300">
            <wp:extent cx="3461385" cy="2482850"/>
            <wp:effectExtent l="0" t="0" r="13335" b="1270"/>
            <wp:docPr id="1" name="图片 1" descr="绘图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绘图5"/>
                    <pic:cNvPicPr>
                      <a:picLocks noChangeAspect="1"/>
                    </pic:cNvPicPr>
                  </pic:nvPicPr>
                  <pic:blipFill>
                    <a:blip r:embed="rId6"/>
                    <a:stretch>
                      <a:fillRect/>
                    </a:stretch>
                  </pic:blipFill>
                  <pic:spPr>
                    <a:xfrm>
                      <a:off x="0" y="0"/>
                      <a:ext cx="3461385" cy="248285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color w:val="0000FF"/>
          <w:highlight w:val="none"/>
          <w:lang w:val="en-US" w:eastAsia="zh-CN"/>
        </w:rPr>
      </w:pPr>
      <w:r>
        <w:rPr>
          <w:rFonts w:hint="eastAsia" w:eastAsia="宋体"/>
          <w:color w:val="0000FF"/>
          <w:highlight w:val="none"/>
          <w:lang w:val="en-US" w:eastAsia="zh-CN"/>
        </w:rPr>
        <w:t>Figure 1 MRTD      /illustration of ..</w:t>
      </w:r>
    </w:p>
    <w:p>
      <w:pPr>
        <w:pStyle w:val="80"/>
        <w:keepNext w:val="0"/>
        <w:keepLines w:val="0"/>
        <w:pageBreakBefore w:val="0"/>
        <w:widowControl/>
        <w:kinsoku/>
        <w:wordWrap/>
        <w:overflowPunct/>
        <w:topLinePunct w:val="0"/>
        <w:autoSpaceDE/>
        <w:autoSpaceDN/>
        <w:bidi w:val="0"/>
        <w:adjustRightInd/>
        <w:snapToGrid/>
        <w:spacing w:line="360" w:lineRule="auto"/>
        <w:jc w:val="center"/>
        <w:textAlignment w:val="auto"/>
        <w:rPr>
          <w:rFonts w:hAnsi="Cambria Math"/>
          <w:b/>
          <w:bCs/>
          <w:i w:val="0"/>
          <w:color w:val="0000FF"/>
          <w:sz w:val="22"/>
          <w:szCs w:val="22"/>
          <w:lang w:val="en-US"/>
        </w:rPr>
      </w:pPr>
      <w:r>
        <w:rPr>
          <w:rFonts w:hint="eastAsia"/>
          <w:b/>
          <w:bCs/>
          <w:color w:val="0000FF"/>
          <w:sz w:val="22"/>
          <w:szCs w:val="22"/>
          <w:lang w:val="en-US" w:eastAsia="zh-CN"/>
        </w:rPr>
        <w:t>MRTD=BS TAE+</w:t>
      </w:r>
      <m:oMath>
        <m:sSub>
          <m:sSubPr>
            <m:ctrlPr>
              <w:rPr>
                <w:rFonts w:ascii="Cambria Math" w:hAnsi="Cambria Math"/>
                <w:b/>
                <w:bCs/>
                <w:color w:val="0000FF"/>
                <w:sz w:val="22"/>
                <w:szCs w:val="22"/>
                <w:lang w:val="en-US"/>
              </w:rPr>
            </m:ctrlPr>
          </m:sSubPr>
          <m:e>
            <m:r>
              <m:rPr>
                <m:sty m:val="b"/>
              </m:rPr>
              <w:rPr>
                <w:rFonts w:ascii="Cambria Math" w:hAnsi="Cambria Math"/>
                <w:color w:val="0000FF"/>
                <w:sz w:val="22"/>
                <w:szCs w:val="22"/>
                <w:lang w:val="en-US"/>
              </w:rPr>
              <m:t>∆</m:t>
            </m:r>
            <m:ctrlPr>
              <w:rPr>
                <w:rFonts w:ascii="Cambria Math" w:hAnsi="Cambria Math"/>
                <w:b/>
                <w:bCs/>
                <w:color w:val="0000FF"/>
                <w:sz w:val="22"/>
                <w:szCs w:val="22"/>
                <w:lang w:val="en-US"/>
              </w:rPr>
            </m:ctrlPr>
          </m:e>
          <m:sub>
            <m:r>
              <m:rPr>
                <m:sty m:val="b"/>
              </m:rPr>
              <w:rPr>
                <w:rFonts w:hint="default" w:ascii="Cambria Math" w:hAnsi="Cambria Math"/>
                <w:color w:val="0000FF"/>
                <w:sz w:val="22"/>
                <w:szCs w:val="22"/>
                <w:lang w:val="en-US" w:eastAsia="zh-CN"/>
              </w:rPr>
              <m:t>RF_propagation</m:t>
            </m:r>
            <m:ctrlPr>
              <w:rPr>
                <w:rFonts w:ascii="Cambria Math" w:hAnsi="Cambria Math"/>
                <w:b/>
                <w:bCs/>
                <w:color w:val="0000FF"/>
                <w:sz w:val="22"/>
                <w:szCs w:val="22"/>
                <w:lang w:val="en-US"/>
              </w:rPr>
            </m:ctrlPr>
          </m:sub>
        </m:sSub>
      </m:oMath>
    </w:p>
    <w:p>
      <w:pPr>
        <w:pStyle w:val="80"/>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i w:val="0"/>
          <w:color w:val="000000"/>
          <w:sz w:val="22"/>
          <w:szCs w:val="22"/>
          <w:lang w:val="en-US" w:eastAsia="zh-CN"/>
        </w:rPr>
      </w:pPr>
      <w:r>
        <w:rPr>
          <w:rFonts w:hint="eastAsia" w:hAnsi="Cambria Math"/>
          <w:i w:val="0"/>
          <w:color w:val="000000"/>
          <w:sz w:val="22"/>
          <w:szCs w:val="22"/>
          <w:lang w:val="en-US" w:eastAsia="zh-CN"/>
        </w:rPr>
        <w:t>In the last meeting, we mainly discussed the synchronous operation and defined the concrete MRTD/MTTD value. As for non-collocated FR1 intra-band asynchronous NR-CA for Type 2 UE, we propose to reuse the maximum receive timing difference requirement for asynchronous EN-DC in TS38.133 as below:</w:t>
      </w:r>
    </w:p>
    <w:p>
      <w:pPr>
        <w:pStyle w:val="52"/>
        <w:rPr>
          <w:snapToGrid w:val="0"/>
        </w:rPr>
      </w:pPr>
      <w:r>
        <w:rPr>
          <w:snapToGrid w:val="0"/>
        </w:rPr>
        <w:t>Table 2-1</w:t>
      </w:r>
      <w:r>
        <w:rPr>
          <w:snapToGrid w:val="0"/>
          <w:lang w:eastAsia="ko-KR"/>
        </w:rPr>
        <w:t>:</w:t>
      </w:r>
      <w:r>
        <w:rPr>
          <w:snapToGrid w:val="0"/>
        </w:rPr>
        <w:t xml:space="preserve"> Maximum receive timing difference requirement for </w:t>
      </w:r>
      <w:r>
        <w:rPr>
          <w:snapToGrid w:val="0"/>
          <w:highlight w:val="yellow"/>
        </w:rPr>
        <w:t>asynchronous</w:t>
      </w:r>
      <w:r>
        <w:rPr>
          <w:snapToGrid w:val="0"/>
          <w:highlight w:val="none"/>
        </w:rPr>
        <w:t xml:space="preserve"> </w:t>
      </w:r>
      <w:r>
        <w:rPr>
          <w:snapToGrid w:val="0"/>
          <w:highlight w:val="none"/>
          <w:lang w:eastAsia="zh-CN"/>
        </w:rPr>
        <w:t>EN-DC</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4" w:type="dxa"/>
            <w:shd w:val="clear" w:color="auto" w:fill="auto"/>
          </w:tcPr>
          <w:p>
            <w:pPr>
              <w:pStyle w:val="43"/>
            </w:pPr>
            <w:r>
              <w:t>Sub-carrier spacing of E-UTRA cell in MCG (kHz)</w:t>
            </w:r>
          </w:p>
        </w:tc>
        <w:tc>
          <w:tcPr>
            <w:tcW w:w="1985" w:type="dxa"/>
            <w:shd w:val="clear" w:color="auto" w:fill="auto"/>
          </w:tcPr>
          <w:p>
            <w:pPr>
              <w:pStyle w:val="43"/>
            </w:pPr>
            <w:r>
              <w:t>DL Sub-carrier spacing of cell in SCG (kHz)</w:t>
            </w:r>
            <w:r>
              <w:rPr>
                <w:lang w:eastAsia="ko-KR"/>
              </w:rPr>
              <w:t xml:space="preserve"> (</w:t>
            </w:r>
            <w:r>
              <w:t>Note</w:t>
            </w:r>
            <w:r>
              <w:rPr>
                <w:lang w:eastAsia="ko-KR"/>
              </w:rPr>
              <w:t xml:space="preserve"> </w:t>
            </w:r>
            <w:r>
              <w:t>1</w:t>
            </w:r>
            <w:r>
              <w:rPr>
                <w:lang w:eastAsia="ko-KR"/>
              </w:rPr>
              <w:t>)</w:t>
            </w:r>
          </w:p>
        </w:tc>
        <w:tc>
          <w:tcPr>
            <w:tcW w:w="2693" w:type="dxa"/>
            <w:shd w:val="clear" w:color="auto" w:fill="auto"/>
          </w:tcPr>
          <w:p>
            <w:pPr>
              <w:pStyle w:val="43"/>
            </w:pPr>
            <w:r>
              <w:t>Maximum receive timing difference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44"/>
            </w:pPr>
            <w:r>
              <w:t>15</w:t>
            </w:r>
          </w:p>
        </w:tc>
        <w:tc>
          <w:tcPr>
            <w:tcW w:w="1985" w:type="dxa"/>
            <w:shd w:val="clear" w:color="auto" w:fill="auto"/>
          </w:tcPr>
          <w:p>
            <w:pPr>
              <w:pStyle w:val="44"/>
            </w:pPr>
            <w:r>
              <w:t>15</w:t>
            </w:r>
          </w:p>
        </w:tc>
        <w:tc>
          <w:tcPr>
            <w:tcW w:w="2693" w:type="dxa"/>
            <w:shd w:val="clear" w:color="auto" w:fill="auto"/>
          </w:tcPr>
          <w:p>
            <w:pPr>
              <w:pStyle w:val="44"/>
            </w:pPr>
            <w: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984" w:type="dxa"/>
            <w:shd w:val="clear" w:color="auto" w:fill="auto"/>
          </w:tcPr>
          <w:p>
            <w:pPr>
              <w:pStyle w:val="44"/>
              <w:rPr>
                <w:highlight w:val="yellow"/>
              </w:rPr>
            </w:pPr>
            <w:r>
              <w:rPr>
                <w:highlight w:val="yellow"/>
              </w:rPr>
              <w:t>15</w:t>
            </w:r>
          </w:p>
        </w:tc>
        <w:tc>
          <w:tcPr>
            <w:tcW w:w="1985" w:type="dxa"/>
            <w:shd w:val="clear" w:color="auto" w:fill="auto"/>
          </w:tcPr>
          <w:p>
            <w:pPr>
              <w:pStyle w:val="44"/>
              <w:rPr>
                <w:highlight w:val="yellow"/>
              </w:rPr>
            </w:pPr>
            <w:r>
              <w:rPr>
                <w:highlight w:val="yellow"/>
              </w:rPr>
              <w:t>30</w:t>
            </w:r>
          </w:p>
        </w:tc>
        <w:tc>
          <w:tcPr>
            <w:tcW w:w="2693" w:type="dxa"/>
            <w:shd w:val="clear" w:color="auto" w:fill="auto"/>
          </w:tcPr>
          <w:p>
            <w:pPr>
              <w:pStyle w:val="44"/>
              <w:rPr>
                <w:highlight w:val="yellow"/>
              </w:rPr>
            </w:pPr>
            <w:r>
              <w:rPr>
                <w:highlight w:val="yellow"/>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44"/>
            </w:pPr>
            <w:r>
              <w:t>15</w:t>
            </w:r>
          </w:p>
        </w:tc>
        <w:tc>
          <w:tcPr>
            <w:tcW w:w="1985" w:type="dxa"/>
            <w:shd w:val="clear" w:color="auto" w:fill="auto"/>
          </w:tcPr>
          <w:p>
            <w:pPr>
              <w:pStyle w:val="44"/>
            </w:pPr>
            <w:r>
              <w:t>60</w:t>
            </w:r>
          </w:p>
        </w:tc>
        <w:tc>
          <w:tcPr>
            <w:tcW w:w="2693" w:type="dxa"/>
            <w:shd w:val="clear" w:color="auto" w:fill="auto"/>
          </w:tcPr>
          <w:p>
            <w:pPr>
              <w:pStyle w:val="44"/>
            </w:pPr>
            <w: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44"/>
            </w:pPr>
            <w:r>
              <w:t>15</w:t>
            </w:r>
          </w:p>
        </w:tc>
        <w:tc>
          <w:tcPr>
            <w:tcW w:w="1985" w:type="dxa"/>
            <w:shd w:val="clear" w:color="auto" w:fill="auto"/>
          </w:tcPr>
          <w:p>
            <w:pPr>
              <w:pStyle w:val="44"/>
              <w:rPr>
                <w:vertAlign w:val="superscript"/>
                <w:lang w:eastAsia="zh-CN"/>
              </w:rPr>
            </w:pPr>
            <w:r>
              <w:t>120</w:t>
            </w:r>
            <w:r>
              <w:rPr>
                <w:vertAlign w:val="superscript"/>
                <w:lang w:eastAsia="zh-CN"/>
              </w:rPr>
              <w:t>Note2</w:t>
            </w:r>
          </w:p>
        </w:tc>
        <w:tc>
          <w:tcPr>
            <w:tcW w:w="2693" w:type="dxa"/>
            <w:shd w:val="clear" w:color="auto" w:fill="auto"/>
          </w:tcPr>
          <w:p>
            <w:pPr>
              <w:pStyle w:val="44"/>
            </w:pPr>
            <w: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2" w:type="dxa"/>
            <w:gridSpan w:val="3"/>
            <w:shd w:val="clear" w:color="auto" w:fill="auto"/>
          </w:tcPr>
          <w:p>
            <w:pPr>
              <w:pStyle w:val="57"/>
            </w:pPr>
            <w:r>
              <w:rPr>
                <w:lang w:eastAsia="ja-JP"/>
              </w:rPr>
              <w:t>NOTE</w:t>
            </w:r>
            <w:r>
              <w:rPr>
                <w:lang w:eastAsia="ko-KR"/>
              </w:rPr>
              <w:t xml:space="preserve"> </w:t>
            </w:r>
            <w:r>
              <w:rPr>
                <w:lang w:eastAsia="ja-JP"/>
              </w:rPr>
              <w:t>1:</w:t>
            </w:r>
            <w:r>
              <w:tab/>
            </w:r>
            <w:r>
              <w:t>DL Sub-carrier spacing is min{SCS</w:t>
            </w:r>
            <w:r>
              <w:rPr>
                <w:vertAlign w:val="subscript"/>
              </w:rPr>
              <w:t>SS</w:t>
            </w:r>
            <w:r>
              <w:t>, SCS</w:t>
            </w:r>
            <w:r>
              <w:rPr>
                <w:vertAlign w:val="subscript"/>
              </w:rPr>
              <w:t>DATA</w:t>
            </w:r>
            <w:r>
              <w:t>}.</w:t>
            </w:r>
          </w:p>
          <w:p>
            <w:pPr>
              <w:pStyle w:val="57"/>
            </w:pPr>
            <w:r>
              <w:rPr>
                <w:lang w:eastAsia="ja-JP"/>
              </w:rPr>
              <w:t>NOTE</w:t>
            </w:r>
            <w:r>
              <w:rPr>
                <w:lang w:eastAsia="ko-KR"/>
              </w:rPr>
              <w:t xml:space="preserve"> </w:t>
            </w:r>
            <w:r>
              <w:rPr>
                <w:lang w:eastAsia="ja-JP"/>
              </w:rPr>
              <w:t>2:</w:t>
            </w:r>
            <w:r>
              <w:tab/>
            </w:r>
            <w:r>
              <w:rPr>
                <w:lang w:eastAsia="ja-JP"/>
              </w:rPr>
              <w:t xml:space="preserve">For </w:t>
            </w:r>
            <w:r>
              <w:rPr>
                <w:lang w:eastAsia="zh-CN"/>
              </w:rPr>
              <w:t xml:space="preserve">E-UTRA </w:t>
            </w:r>
            <w:r>
              <w:t>FDD-</w:t>
            </w:r>
            <w:r>
              <w:rPr>
                <w:lang w:eastAsia="zh-CN"/>
              </w:rPr>
              <w:t xml:space="preserve">NR </w:t>
            </w:r>
            <w:r>
              <w:t>FDD</w:t>
            </w:r>
            <w:r>
              <w:rPr>
                <w:lang w:eastAsia="zh-CN"/>
              </w:rPr>
              <w:t xml:space="preserve"> </w:t>
            </w:r>
            <w:r>
              <w:rPr>
                <w:lang w:eastAsia="ja-JP"/>
              </w:rPr>
              <w:t>intra-band</w:t>
            </w:r>
            <w:r>
              <w:rPr>
                <w:lang w:eastAsia="zh-CN"/>
              </w:rPr>
              <w:t xml:space="preserve"> EN-DC</w:t>
            </w:r>
            <w:r>
              <w:rPr>
                <w:lang w:eastAsia="ja-JP"/>
              </w:rPr>
              <w:t xml:space="preserve">, </w:t>
            </w:r>
            <w:r>
              <w:rPr>
                <w:lang w:eastAsia="zh-CN"/>
              </w:rPr>
              <w:t>for which the requirement is defined in clause 7.6.3 and this Table 7.6.2-1 is also applicable</w:t>
            </w:r>
            <w:r>
              <w:rPr>
                <w:lang w:eastAsia="ja-JP"/>
              </w:rPr>
              <w:t xml:space="preserve">, </w:t>
            </w:r>
            <w:r>
              <w:rPr>
                <w:lang w:eastAsia="zh-CN"/>
              </w:rPr>
              <w:t xml:space="preserve">the scenario with </w:t>
            </w:r>
            <w:r>
              <w:rPr>
                <w:lang w:eastAsia="ja-JP"/>
              </w:rPr>
              <w:t xml:space="preserve">120 kHz </w:t>
            </w:r>
            <w:r>
              <w:rPr>
                <w:lang w:eastAsia="zh-CN"/>
              </w:rPr>
              <w:t>does not exit</w:t>
            </w:r>
            <w:r>
              <w:rPr>
                <w:lang w:eastAsia="ja-JP"/>
              </w:rPr>
              <w:t>.</w:t>
            </w:r>
          </w:p>
        </w:tc>
      </w:tr>
    </w:tbl>
    <w:p>
      <w:pPr>
        <w:pStyle w:val="80"/>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hAnsi="Cambria Math"/>
          <w:i w:val="0"/>
          <w:color w:val="000000"/>
          <w:sz w:val="22"/>
          <w:szCs w:val="22"/>
          <w:lang w:val="en-US" w:eastAsia="zh-CN"/>
        </w:rPr>
      </w:pPr>
    </w:p>
    <w:p>
      <w:pPr>
        <w:pStyle w:val="78"/>
        <w:ind w:left="0" w:firstLine="0"/>
      </w:pPr>
      <w:r>
        <w:t xml:space="preserve">The MRTD requirements for non-collocated FR1 intra-band </w:t>
      </w:r>
      <w:r>
        <w:rPr>
          <w:rFonts w:hint="eastAsia" w:eastAsia="宋体"/>
          <w:lang w:val="en-US" w:eastAsia="zh-CN"/>
        </w:rPr>
        <w:t xml:space="preserve">asynchronous </w:t>
      </w:r>
      <w:r>
        <w:t xml:space="preserve">NR-CA could be </w:t>
      </w:r>
      <w:r>
        <w:rPr>
          <w:rFonts w:hint="eastAsia" w:eastAsia="宋体"/>
          <w:lang w:val="en-US" w:eastAsia="zh-CN"/>
        </w:rPr>
        <w:t>250</w:t>
      </w:r>
      <w:r>
        <w:t>us.</w:t>
      </w:r>
    </w:p>
    <w:p>
      <w:pPr>
        <w:pStyle w:val="75"/>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NW A requirements</w:t>
      </w:r>
      <w:r>
        <w:rPr>
          <w:rFonts w:eastAsia="宋体"/>
          <w:lang w:val="en-US" w:eastAsia="zh-CN"/>
        </w:rPr>
        <w:t xml:space="preserve"> related to MUSIM gaps</w:t>
      </w:r>
      <w:r>
        <w:rPr>
          <w:rFonts w:eastAsia="宋体"/>
          <w:lang w:eastAsia="zh-CN"/>
        </w:rPr>
        <w:t>.</w:t>
      </w:r>
    </w:p>
    <w:p>
      <w:pPr>
        <w:pStyle w:val="78"/>
        <w:numPr>
          <w:ilvl w:val="0"/>
          <w:numId w:val="0"/>
        </w:numPr>
        <w:ind w:leftChars="0"/>
      </w:pPr>
      <w:r>
        <w:rPr>
          <w:rFonts w:hint="eastAsia" w:eastAsia="宋体"/>
          <w:lang w:val="en-US" w:eastAsia="zh-CN"/>
        </w:rPr>
        <w:t xml:space="preserve">Proposal 1: </w:t>
      </w:r>
      <w:r>
        <w:t xml:space="preserve">The MRTD requirements for non-collocated FR1 intra-band </w:t>
      </w:r>
      <w:r>
        <w:rPr>
          <w:rFonts w:hint="eastAsia" w:eastAsia="宋体"/>
          <w:lang w:val="en-US" w:eastAsia="zh-CN"/>
        </w:rPr>
        <w:t xml:space="preserve">asynchronous </w:t>
      </w:r>
      <w:r>
        <w:t xml:space="preserve">NR-CA could be </w:t>
      </w:r>
      <w:r>
        <w:rPr>
          <w:rFonts w:hint="eastAsia" w:eastAsia="宋体"/>
          <w:lang w:val="en-US" w:eastAsia="zh-CN"/>
        </w:rPr>
        <w:t>0.25</w:t>
      </w:r>
      <w:r>
        <w:t>us.</w:t>
      </w:r>
    </w:p>
    <w:p>
      <w:pPr>
        <w:pStyle w:val="75"/>
        <w:numPr>
          <w:ilvl w:val="0"/>
          <w:numId w:val="0"/>
        </w:numPr>
        <w:ind w:left="360" w:hanging="360"/>
        <w:rPr>
          <w:lang w:val="en-US"/>
        </w:rPr>
      </w:pPr>
      <w:r>
        <w:rPr>
          <w:lang w:val="en-US"/>
        </w:rPr>
        <w:t>References</w:t>
      </w:r>
    </w:p>
    <w:p>
      <w:pPr>
        <w:pStyle w:val="71"/>
        <w:keepNext w:val="0"/>
        <w:keepLines w:val="0"/>
        <w:pageBreakBefore w:val="0"/>
        <w:widowControl w:val="0"/>
        <w:numPr>
          <w:ilvl w:val="0"/>
          <w:numId w:val="5"/>
        </w:numPr>
        <w:kinsoku/>
        <w:wordWrap/>
        <w:overflowPunct/>
        <w:topLinePunct w:val="0"/>
        <w:autoSpaceDE/>
        <w:autoSpaceDN/>
        <w:bidi w:val="0"/>
        <w:adjustRightInd/>
        <w:snapToGrid/>
        <w:spacing w:after="0" w:line="360" w:lineRule="auto"/>
        <w:ind w:right="72" w:firstLineChars="0"/>
        <w:textAlignment w:val="auto"/>
      </w:pPr>
      <w:bookmarkStart w:id="3" w:name="_Ref114500673"/>
      <w:bookmarkEnd w:id="3"/>
      <w:r>
        <w:rPr>
          <w:rFonts w:hint="eastAsia" w:eastAsia="宋体"/>
          <w:lang w:val="en-US" w:eastAsia="zh-CN"/>
        </w:rPr>
        <w:t xml:space="preserve"> </w:t>
      </w:r>
      <w:r>
        <w:rPr>
          <w:rFonts w:hint="eastAsia" w:ascii="Times New Roman" w:hAnsi="Times New Roman" w:eastAsia="Times New Roman" w:cs="Times New Roman"/>
          <w:sz w:val="20"/>
          <w:szCs w:val="20"/>
          <w:lang w:val="en-GB" w:eastAsia="en-US" w:bidi="ar-SA"/>
        </w:rPr>
        <w:t xml:space="preserve">RP-221809, “New WID: Support of intra-band non-collocated EN-DC/NR-CA deployment”, KDDI, Jun. 2022. </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360" w:leftChars="0" w:hanging="360" w:firstLineChars="0"/>
        <w:textAlignment w:val="auto"/>
        <w:rPr>
          <w:rFonts w:hint="eastAsia" w:eastAsia="宋体"/>
          <w:lang w:val="en-US" w:eastAsia="zh-CN"/>
        </w:rPr>
      </w:pPr>
      <w:r>
        <w:rPr>
          <w:rFonts w:hint="eastAsia" w:eastAsia="宋体"/>
          <w:lang w:val="en-US" w:eastAsia="zh-CN"/>
        </w:rPr>
        <w:t xml:space="preserve"> R4-2220398, </w:t>
      </w:r>
      <w:r>
        <w:rPr>
          <w:rFonts w:hint="eastAsia"/>
        </w:rPr>
        <w:t>WF on RRM requirements for intra-band non-collocated EN-DC/NR-CA</w:t>
      </w:r>
      <w:r>
        <w:rPr>
          <w:rFonts w:hint="eastAsia" w:eastAsia="宋体"/>
          <w:lang w:val="en-US" w:eastAsia="zh-CN"/>
        </w:rPr>
        <w:t>, Huawei, HiSilicon, Samsung.</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360" w:leftChars="0" w:hanging="360" w:firstLineChars="0"/>
        <w:textAlignment w:val="auto"/>
        <w:rPr>
          <w:rFonts w:hint="eastAsia" w:eastAsia="宋体"/>
          <w:lang w:val="en-US" w:eastAsia="zh-CN"/>
        </w:rPr>
      </w:pPr>
      <w:r>
        <w:rPr>
          <w:rFonts w:hint="eastAsia" w:eastAsia="宋体"/>
          <w:lang w:val="en-US" w:eastAsia="zh-CN"/>
        </w:rPr>
        <w:t xml:space="preserve"> R4-2218687, RRM requirements for non-collocated FR1 intra-band EN-DC/NR-CA, Nokia, Nokia Shanghai Bell.</w:t>
      </w:r>
    </w:p>
    <w:p>
      <w:pPr>
        <w:keepNext w:val="0"/>
        <w:keepLines w:val="0"/>
        <w:pageBreakBefore w:val="0"/>
        <w:kinsoku/>
        <w:wordWrap/>
        <w:overflowPunct/>
        <w:topLinePunct w:val="0"/>
        <w:autoSpaceDE/>
        <w:autoSpaceDN/>
        <w:bidi w:val="0"/>
        <w:adjustRightInd/>
        <w:snapToGrid/>
        <w:spacing w:line="360" w:lineRule="auto"/>
        <w:textAlignment w:val="auto"/>
        <w:rPr>
          <w:rFonts w:hint="eastAsia" w:eastAsia="宋体"/>
          <w:lang w:val="en-US" w:eastAsia="zh-CN"/>
        </w:rPr>
      </w:pPr>
      <w:r>
        <w:rPr>
          <w:rFonts w:hint="eastAsia" w:eastAsia="宋体"/>
          <w:lang w:val="en-US" w:eastAsia="zh-CN"/>
        </w:rPr>
        <w:t xml:space="preserve">[4]  R4-2219334, </w:t>
      </w:r>
      <w:r>
        <w:rPr>
          <w:rFonts w:ascii="Arial" w:hAnsi="Arial" w:cs="Arial"/>
          <w:bCs/>
          <w:lang w:val="en-US"/>
        </w:rPr>
        <w:t>MRTD and MTTD requirements</w:t>
      </w:r>
      <w:r>
        <w:rPr>
          <w:rFonts w:hint="eastAsia" w:ascii="Arial" w:hAnsi="Arial" w:eastAsia="宋体" w:cs="Arial"/>
          <w:bCs/>
          <w:lang w:val="en-US" w:eastAsia="zh-CN"/>
        </w:rPr>
        <w:t xml:space="preserve">, </w:t>
      </w:r>
      <w:r>
        <w:rPr>
          <w:rFonts w:ascii="Arial" w:hAnsi="Arial" w:cs="Arial"/>
          <w:bCs/>
          <w:lang w:val="en-US"/>
        </w:rPr>
        <w:t>Ericsson</w:t>
      </w:r>
      <w:r>
        <w:rPr>
          <w:rFonts w:hint="eastAsia" w:ascii="Arial" w:hAnsi="Arial" w:eastAsia="宋体" w:cs="Arial"/>
          <w:bCs/>
          <w:lang w:val="en-US" w:eastAsia="zh-CN"/>
        </w:rPr>
        <w:t>.</w:t>
      </w: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eastAsia="宋体"/>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5"/>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cs="Times New Roman"/>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D6E3167"/>
    <w:multiLevelType w:val="multilevel"/>
    <w:tmpl w:val="4D6E3167"/>
    <w:lvl w:ilvl="0" w:tentative="0">
      <w:start w:val="1"/>
      <w:numFmt w:val="decimal"/>
      <w:pStyle w:val="78"/>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392338A"/>
    <w:multiLevelType w:val="multilevel"/>
    <w:tmpl w:val="6392338A"/>
    <w:lvl w:ilvl="0" w:tentative="0">
      <w:start w:val="1"/>
      <w:numFmt w:val="decimal"/>
      <w:lvlText w:val="[%1]"/>
      <w:lvlJc w:val="left"/>
      <w:pPr>
        <w:ind w:left="360" w:hanging="360"/>
      </w:pPr>
      <w:rPr>
        <w:rFonts w:hint="eastAsia"/>
        <w:lang w:val="en-G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65C217B"/>
    <w:multiLevelType w:val="multilevel"/>
    <w:tmpl w:val="665C217B"/>
    <w:lvl w:ilvl="0" w:tentative="0">
      <w:start w:val="1"/>
      <w:numFmt w:val="decimal"/>
      <w:pStyle w:val="75"/>
      <w:lvlText w:val="%1"/>
      <w:lvlJc w:val="left"/>
      <w:pPr>
        <w:ind w:left="360" w:hanging="360"/>
      </w:pPr>
      <w:rPr>
        <w:rFonts w:hint="default"/>
      </w:rPr>
    </w:lvl>
    <w:lvl w:ilvl="1" w:tentative="0">
      <w:start w:val="1"/>
      <w:numFmt w:val="decimal"/>
      <w:pStyle w:val="77"/>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C1192"/>
    <w:rsid w:val="011629BA"/>
    <w:rsid w:val="01295F0D"/>
    <w:rsid w:val="013D25BD"/>
    <w:rsid w:val="01410DC2"/>
    <w:rsid w:val="01536085"/>
    <w:rsid w:val="01601422"/>
    <w:rsid w:val="01652E48"/>
    <w:rsid w:val="018F1743"/>
    <w:rsid w:val="01907C39"/>
    <w:rsid w:val="019543CE"/>
    <w:rsid w:val="01E70C97"/>
    <w:rsid w:val="02704071"/>
    <w:rsid w:val="029011A2"/>
    <w:rsid w:val="02A03627"/>
    <w:rsid w:val="02DB4554"/>
    <w:rsid w:val="02EE768C"/>
    <w:rsid w:val="0327096F"/>
    <w:rsid w:val="03BF3D9F"/>
    <w:rsid w:val="03C80AD2"/>
    <w:rsid w:val="04076F95"/>
    <w:rsid w:val="04383CC9"/>
    <w:rsid w:val="04421BA4"/>
    <w:rsid w:val="044B12E0"/>
    <w:rsid w:val="046301A2"/>
    <w:rsid w:val="04732FB8"/>
    <w:rsid w:val="04871DE8"/>
    <w:rsid w:val="04A12403"/>
    <w:rsid w:val="04A815F7"/>
    <w:rsid w:val="04AD06A4"/>
    <w:rsid w:val="04BD1E3A"/>
    <w:rsid w:val="050C7718"/>
    <w:rsid w:val="05214F03"/>
    <w:rsid w:val="05B1379B"/>
    <w:rsid w:val="05C6466C"/>
    <w:rsid w:val="05DB67C3"/>
    <w:rsid w:val="05F02736"/>
    <w:rsid w:val="062C2061"/>
    <w:rsid w:val="067C67DB"/>
    <w:rsid w:val="07073FA3"/>
    <w:rsid w:val="072441B5"/>
    <w:rsid w:val="076202A2"/>
    <w:rsid w:val="076A2A73"/>
    <w:rsid w:val="078911DB"/>
    <w:rsid w:val="07C3764D"/>
    <w:rsid w:val="07F66AC5"/>
    <w:rsid w:val="0833764C"/>
    <w:rsid w:val="084677D5"/>
    <w:rsid w:val="0848005E"/>
    <w:rsid w:val="084B1A9E"/>
    <w:rsid w:val="084C657D"/>
    <w:rsid w:val="084D12F0"/>
    <w:rsid w:val="08622884"/>
    <w:rsid w:val="087B6B61"/>
    <w:rsid w:val="087E40F9"/>
    <w:rsid w:val="08916AA8"/>
    <w:rsid w:val="089F664F"/>
    <w:rsid w:val="08AF00C1"/>
    <w:rsid w:val="08B531C0"/>
    <w:rsid w:val="08D53034"/>
    <w:rsid w:val="08DA28B3"/>
    <w:rsid w:val="0903652D"/>
    <w:rsid w:val="09104DCD"/>
    <w:rsid w:val="09447B35"/>
    <w:rsid w:val="09506385"/>
    <w:rsid w:val="09606948"/>
    <w:rsid w:val="096E0D4F"/>
    <w:rsid w:val="09736AE0"/>
    <w:rsid w:val="0A143BE1"/>
    <w:rsid w:val="0A286DFB"/>
    <w:rsid w:val="0A6C43DE"/>
    <w:rsid w:val="0ABC02E8"/>
    <w:rsid w:val="0AC16484"/>
    <w:rsid w:val="0AD555AC"/>
    <w:rsid w:val="0ADC04D1"/>
    <w:rsid w:val="0AED24FC"/>
    <w:rsid w:val="0B24532C"/>
    <w:rsid w:val="0B3F6621"/>
    <w:rsid w:val="0B4D2A88"/>
    <w:rsid w:val="0B527B25"/>
    <w:rsid w:val="0B5E0983"/>
    <w:rsid w:val="0B6A4840"/>
    <w:rsid w:val="0B707256"/>
    <w:rsid w:val="0B7129F9"/>
    <w:rsid w:val="0B744B6D"/>
    <w:rsid w:val="0B7E60C9"/>
    <w:rsid w:val="0B927AF3"/>
    <w:rsid w:val="0BEF4F2C"/>
    <w:rsid w:val="0BF03462"/>
    <w:rsid w:val="0BF56721"/>
    <w:rsid w:val="0C5161F8"/>
    <w:rsid w:val="0C52360D"/>
    <w:rsid w:val="0C7C1976"/>
    <w:rsid w:val="0CAC6DE2"/>
    <w:rsid w:val="0CDE55BC"/>
    <w:rsid w:val="0D3A5239"/>
    <w:rsid w:val="0D3A7039"/>
    <w:rsid w:val="0D4356A8"/>
    <w:rsid w:val="0D8972A3"/>
    <w:rsid w:val="0D94436C"/>
    <w:rsid w:val="0D980C13"/>
    <w:rsid w:val="0DB607B8"/>
    <w:rsid w:val="0DC22600"/>
    <w:rsid w:val="0DC51AC4"/>
    <w:rsid w:val="0DC63EF2"/>
    <w:rsid w:val="0DD75C5E"/>
    <w:rsid w:val="0DE9579A"/>
    <w:rsid w:val="0DFF4B13"/>
    <w:rsid w:val="0E093416"/>
    <w:rsid w:val="0E402695"/>
    <w:rsid w:val="0E6B4543"/>
    <w:rsid w:val="0E777792"/>
    <w:rsid w:val="0E7B1FCA"/>
    <w:rsid w:val="0E880E39"/>
    <w:rsid w:val="0E9D025B"/>
    <w:rsid w:val="0ED01837"/>
    <w:rsid w:val="0EDB491D"/>
    <w:rsid w:val="0EE37928"/>
    <w:rsid w:val="0EF97174"/>
    <w:rsid w:val="0F2550AA"/>
    <w:rsid w:val="0F3A116B"/>
    <w:rsid w:val="0F511411"/>
    <w:rsid w:val="0F703346"/>
    <w:rsid w:val="0F80004E"/>
    <w:rsid w:val="0F871EAB"/>
    <w:rsid w:val="0F9F1528"/>
    <w:rsid w:val="0FDF5A14"/>
    <w:rsid w:val="1008703A"/>
    <w:rsid w:val="10126FBC"/>
    <w:rsid w:val="103809FF"/>
    <w:rsid w:val="1096068D"/>
    <w:rsid w:val="10B951CF"/>
    <w:rsid w:val="10BB3068"/>
    <w:rsid w:val="10D82C05"/>
    <w:rsid w:val="110E3EB6"/>
    <w:rsid w:val="111E4B32"/>
    <w:rsid w:val="11617971"/>
    <w:rsid w:val="11622F64"/>
    <w:rsid w:val="116F4939"/>
    <w:rsid w:val="11846297"/>
    <w:rsid w:val="118660F9"/>
    <w:rsid w:val="11AD4D58"/>
    <w:rsid w:val="11B9017A"/>
    <w:rsid w:val="11BA4661"/>
    <w:rsid w:val="11BA6A1A"/>
    <w:rsid w:val="11EE75FC"/>
    <w:rsid w:val="11FA2349"/>
    <w:rsid w:val="12533BE9"/>
    <w:rsid w:val="126548EE"/>
    <w:rsid w:val="12817181"/>
    <w:rsid w:val="129E41E5"/>
    <w:rsid w:val="12C003F7"/>
    <w:rsid w:val="12DD774D"/>
    <w:rsid w:val="12EC5693"/>
    <w:rsid w:val="12ED26CF"/>
    <w:rsid w:val="136404F3"/>
    <w:rsid w:val="139A4A42"/>
    <w:rsid w:val="139F7210"/>
    <w:rsid w:val="13B61E8E"/>
    <w:rsid w:val="13C23A1B"/>
    <w:rsid w:val="13C76244"/>
    <w:rsid w:val="13CF28FB"/>
    <w:rsid w:val="14175E0A"/>
    <w:rsid w:val="141F1BA5"/>
    <w:rsid w:val="142A2204"/>
    <w:rsid w:val="14782396"/>
    <w:rsid w:val="148942E3"/>
    <w:rsid w:val="14AC25B0"/>
    <w:rsid w:val="14AE0BED"/>
    <w:rsid w:val="14AF303C"/>
    <w:rsid w:val="14BE55AD"/>
    <w:rsid w:val="14E86F5C"/>
    <w:rsid w:val="15281376"/>
    <w:rsid w:val="156508EF"/>
    <w:rsid w:val="157177C3"/>
    <w:rsid w:val="1581047E"/>
    <w:rsid w:val="15B0540D"/>
    <w:rsid w:val="15C84147"/>
    <w:rsid w:val="15CA017F"/>
    <w:rsid w:val="15D71AD5"/>
    <w:rsid w:val="15F47965"/>
    <w:rsid w:val="15FC08F6"/>
    <w:rsid w:val="163D1A9F"/>
    <w:rsid w:val="1646133C"/>
    <w:rsid w:val="16DC0535"/>
    <w:rsid w:val="170716B6"/>
    <w:rsid w:val="1748083E"/>
    <w:rsid w:val="17553F9F"/>
    <w:rsid w:val="175623CE"/>
    <w:rsid w:val="17C62163"/>
    <w:rsid w:val="17D01F3A"/>
    <w:rsid w:val="17DC7DAF"/>
    <w:rsid w:val="180E4FC5"/>
    <w:rsid w:val="18171331"/>
    <w:rsid w:val="184A4BE3"/>
    <w:rsid w:val="185060EC"/>
    <w:rsid w:val="185765B9"/>
    <w:rsid w:val="185A42FA"/>
    <w:rsid w:val="189D2207"/>
    <w:rsid w:val="18A45C40"/>
    <w:rsid w:val="18D57338"/>
    <w:rsid w:val="18E96032"/>
    <w:rsid w:val="18EE62E8"/>
    <w:rsid w:val="18F96461"/>
    <w:rsid w:val="19116F8E"/>
    <w:rsid w:val="19320F1E"/>
    <w:rsid w:val="19551A74"/>
    <w:rsid w:val="195F7D63"/>
    <w:rsid w:val="197C2433"/>
    <w:rsid w:val="19933139"/>
    <w:rsid w:val="19AC4F46"/>
    <w:rsid w:val="19D57461"/>
    <w:rsid w:val="19EE7D0B"/>
    <w:rsid w:val="1A056F13"/>
    <w:rsid w:val="1A191F3E"/>
    <w:rsid w:val="1A5163D6"/>
    <w:rsid w:val="1A54768F"/>
    <w:rsid w:val="1A5A669E"/>
    <w:rsid w:val="1AC56317"/>
    <w:rsid w:val="1B3557E5"/>
    <w:rsid w:val="1B777BC9"/>
    <w:rsid w:val="1B8D6B92"/>
    <w:rsid w:val="1B936CD6"/>
    <w:rsid w:val="1B990279"/>
    <w:rsid w:val="1B9B4E1C"/>
    <w:rsid w:val="1B9C50E9"/>
    <w:rsid w:val="1BAA5FDD"/>
    <w:rsid w:val="1BAD4429"/>
    <w:rsid w:val="1BB80557"/>
    <w:rsid w:val="1BBE49D3"/>
    <w:rsid w:val="1BD91A80"/>
    <w:rsid w:val="1BF24F3D"/>
    <w:rsid w:val="1BF5195F"/>
    <w:rsid w:val="1C1D36F1"/>
    <w:rsid w:val="1C386892"/>
    <w:rsid w:val="1C5F3B2B"/>
    <w:rsid w:val="1C7530BF"/>
    <w:rsid w:val="1CC735F6"/>
    <w:rsid w:val="1CF005FD"/>
    <w:rsid w:val="1D0B195E"/>
    <w:rsid w:val="1D3570D5"/>
    <w:rsid w:val="1D4E0EB2"/>
    <w:rsid w:val="1D8F4E65"/>
    <w:rsid w:val="1DB553DF"/>
    <w:rsid w:val="1DBF1882"/>
    <w:rsid w:val="1DF17BE1"/>
    <w:rsid w:val="1E4719A3"/>
    <w:rsid w:val="1E6C5F4E"/>
    <w:rsid w:val="1EA65561"/>
    <w:rsid w:val="1EAD4127"/>
    <w:rsid w:val="1EB61479"/>
    <w:rsid w:val="1EB8797A"/>
    <w:rsid w:val="1EEC719E"/>
    <w:rsid w:val="1F0242AA"/>
    <w:rsid w:val="1F044236"/>
    <w:rsid w:val="1F25251D"/>
    <w:rsid w:val="1F2B5438"/>
    <w:rsid w:val="1F4A642A"/>
    <w:rsid w:val="1F595467"/>
    <w:rsid w:val="1F5C06A1"/>
    <w:rsid w:val="1FBB5482"/>
    <w:rsid w:val="200D64BE"/>
    <w:rsid w:val="20256516"/>
    <w:rsid w:val="20462572"/>
    <w:rsid w:val="20584BED"/>
    <w:rsid w:val="20B352D2"/>
    <w:rsid w:val="21061BA2"/>
    <w:rsid w:val="212B1C97"/>
    <w:rsid w:val="21361FB5"/>
    <w:rsid w:val="214B3D89"/>
    <w:rsid w:val="21575426"/>
    <w:rsid w:val="215C1F77"/>
    <w:rsid w:val="2177769E"/>
    <w:rsid w:val="21D25FF2"/>
    <w:rsid w:val="21F70210"/>
    <w:rsid w:val="223C2DAF"/>
    <w:rsid w:val="224E39C0"/>
    <w:rsid w:val="22682C5C"/>
    <w:rsid w:val="226E077B"/>
    <w:rsid w:val="22923DE9"/>
    <w:rsid w:val="22973417"/>
    <w:rsid w:val="229D5794"/>
    <w:rsid w:val="22C629AC"/>
    <w:rsid w:val="22E96F92"/>
    <w:rsid w:val="230D3451"/>
    <w:rsid w:val="234B3276"/>
    <w:rsid w:val="234C6D0D"/>
    <w:rsid w:val="23773623"/>
    <w:rsid w:val="2377693D"/>
    <w:rsid w:val="239F724D"/>
    <w:rsid w:val="23AB1721"/>
    <w:rsid w:val="23EF0BE1"/>
    <w:rsid w:val="246A08B9"/>
    <w:rsid w:val="246D0D8A"/>
    <w:rsid w:val="24754B15"/>
    <w:rsid w:val="247F64CC"/>
    <w:rsid w:val="248D420D"/>
    <w:rsid w:val="24921B27"/>
    <w:rsid w:val="24B97631"/>
    <w:rsid w:val="24C90419"/>
    <w:rsid w:val="24ED1C1E"/>
    <w:rsid w:val="24F0284D"/>
    <w:rsid w:val="25202C91"/>
    <w:rsid w:val="252331A5"/>
    <w:rsid w:val="25425A19"/>
    <w:rsid w:val="254C3050"/>
    <w:rsid w:val="258B2F2B"/>
    <w:rsid w:val="25AB3D1C"/>
    <w:rsid w:val="25D90A1B"/>
    <w:rsid w:val="25E22192"/>
    <w:rsid w:val="25F332FF"/>
    <w:rsid w:val="26274BB6"/>
    <w:rsid w:val="26356536"/>
    <w:rsid w:val="268B243A"/>
    <w:rsid w:val="269C627F"/>
    <w:rsid w:val="26AA20D3"/>
    <w:rsid w:val="26E576C7"/>
    <w:rsid w:val="26F04260"/>
    <w:rsid w:val="26F81EB4"/>
    <w:rsid w:val="26FB2F1B"/>
    <w:rsid w:val="27310B9A"/>
    <w:rsid w:val="273E1C11"/>
    <w:rsid w:val="27815619"/>
    <w:rsid w:val="279E2679"/>
    <w:rsid w:val="27D65541"/>
    <w:rsid w:val="27EC5FCE"/>
    <w:rsid w:val="28453585"/>
    <w:rsid w:val="28671C46"/>
    <w:rsid w:val="28765D76"/>
    <w:rsid w:val="2897657D"/>
    <w:rsid w:val="28AB19F4"/>
    <w:rsid w:val="28D71E0B"/>
    <w:rsid w:val="28F045AC"/>
    <w:rsid w:val="291D583E"/>
    <w:rsid w:val="293F5CDA"/>
    <w:rsid w:val="29795CC3"/>
    <w:rsid w:val="298C7591"/>
    <w:rsid w:val="299760C7"/>
    <w:rsid w:val="2999350D"/>
    <w:rsid w:val="299E7E78"/>
    <w:rsid w:val="29D60A95"/>
    <w:rsid w:val="29D94FA1"/>
    <w:rsid w:val="29E31604"/>
    <w:rsid w:val="29F87E04"/>
    <w:rsid w:val="2A2D73EC"/>
    <w:rsid w:val="2A3B565F"/>
    <w:rsid w:val="2AA369DD"/>
    <w:rsid w:val="2AD06022"/>
    <w:rsid w:val="2AEC47FC"/>
    <w:rsid w:val="2AF1331E"/>
    <w:rsid w:val="2AF81BE3"/>
    <w:rsid w:val="2B30506E"/>
    <w:rsid w:val="2B361003"/>
    <w:rsid w:val="2B3762A6"/>
    <w:rsid w:val="2B5B0F6E"/>
    <w:rsid w:val="2B9970F1"/>
    <w:rsid w:val="2C1738CF"/>
    <w:rsid w:val="2CB5787B"/>
    <w:rsid w:val="2CD30F03"/>
    <w:rsid w:val="2D0B7148"/>
    <w:rsid w:val="2D17770B"/>
    <w:rsid w:val="2D354DCA"/>
    <w:rsid w:val="2D6533DD"/>
    <w:rsid w:val="2D6E6943"/>
    <w:rsid w:val="2D7E4AF7"/>
    <w:rsid w:val="2D8E349F"/>
    <w:rsid w:val="2D9469E6"/>
    <w:rsid w:val="2DAF78FF"/>
    <w:rsid w:val="2DEF20F0"/>
    <w:rsid w:val="2E041306"/>
    <w:rsid w:val="2E106E4C"/>
    <w:rsid w:val="2E4C211D"/>
    <w:rsid w:val="2E4D7F49"/>
    <w:rsid w:val="2E4E1129"/>
    <w:rsid w:val="2E6446EB"/>
    <w:rsid w:val="2E7F0E61"/>
    <w:rsid w:val="2E870765"/>
    <w:rsid w:val="2E8D0791"/>
    <w:rsid w:val="2E9B39A1"/>
    <w:rsid w:val="2F047EE8"/>
    <w:rsid w:val="2F085C75"/>
    <w:rsid w:val="2F2B12A9"/>
    <w:rsid w:val="2F626907"/>
    <w:rsid w:val="2F956224"/>
    <w:rsid w:val="2FB449B9"/>
    <w:rsid w:val="2FC73BC7"/>
    <w:rsid w:val="2FE311E4"/>
    <w:rsid w:val="2FF608DC"/>
    <w:rsid w:val="2FFD3FAC"/>
    <w:rsid w:val="3004586C"/>
    <w:rsid w:val="30077E1F"/>
    <w:rsid w:val="30160ACC"/>
    <w:rsid w:val="3045081F"/>
    <w:rsid w:val="30834BF9"/>
    <w:rsid w:val="30944718"/>
    <w:rsid w:val="30C01078"/>
    <w:rsid w:val="3133127A"/>
    <w:rsid w:val="31353CD7"/>
    <w:rsid w:val="317662E9"/>
    <w:rsid w:val="31954796"/>
    <w:rsid w:val="319F0073"/>
    <w:rsid w:val="31B9498A"/>
    <w:rsid w:val="32044DED"/>
    <w:rsid w:val="320C562E"/>
    <w:rsid w:val="327353C3"/>
    <w:rsid w:val="327A0FE8"/>
    <w:rsid w:val="327A53EF"/>
    <w:rsid w:val="329F684F"/>
    <w:rsid w:val="32DB3ECB"/>
    <w:rsid w:val="330258B3"/>
    <w:rsid w:val="33106E3B"/>
    <w:rsid w:val="333E4968"/>
    <w:rsid w:val="337E28B4"/>
    <w:rsid w:val="338517A3"/>
    <w:rsid w:val="33BF54F1"/>
    <w:rsid w:val="33D163EF"/>
    <w:rsid w:val="33D45DFD"/>
    <w:rsid w:val="33E605A3"/>
    <w:rsid w:val="33E706E6"/>
    <w:rsid w:val="33F14703"/>
    <w:rsid w:val="33F7797D"/>
    <w:rsid w:val="345B2367"/>
    <w:rsid w:val="34A54544"/>
    <w:rsid w:val="34AE0539"/>
    <w:rsid w:val="34CD5068"/>
    <w:rsid w:val="34CE2B5B"/>
    <w:rsid w:val="34E944F6"/>
    <w:rsid w:val="34E94AA0"/>
    <w:rsid w:val="35072EAD"/>
    <w:rsid w:val="350960B1"/>
    <w:rsid w:val="35217336"/>
    <w:rsid w:val="35290A77"/>
    <w:rsid w:val="35356F10"/>
    <w:rsid w:val="355C013C"/>
    <w:rsid w:val="356A601B"/>
    <w:rsid w:val="35841013"/>
    <w:rsid w:val="358B79C9"/>
    <w:rsid w:val="359A00B9"/>
    <w:rsid w:val="36225127"/>
    <w:rsid w:val="36237E20"/>
    <w:rsid w:val="36286678"/>
    <w:rsid w:val="363803C7"/>
    <w:rsid w:val="367620D2"/>
    <w:rsid w:val="3689139F"/>
    <w:rsid w:val="369608CE"/>
    <w:rsid w:val="36D067A6"/>
    <w:rsid w:val="37070D11"/>
    <w:rsid w:val="373F53DD"/>
    <w:rsid w:val="375948AC"/>
    <w:rsid w:val="376C5D00"/>
    <w:rsid w:val="376E276D"/>
    <w:rsid w:val="379C41CE"/>
    <w:rsid w:val="37A04E93"/>
    <w:rsid w:val="37EA0A17"/>
    <w:rsid w:val="380A7603"/>
    <w:rsid w:val="380B0BB2"/>
    <w:rsid w:val="380D32F1"/>
    <w:rsid w:val="380D5D0D"/>
    <w:rsid w:val="382F2C1E"/>
    <w:rsid w:val="38801C6C"/>
    <w:rsid w:val="38851608"/>
    <w:rsid w:val="38A45712"/>
    <w:rsid w:val="38A47DD9"/>
    <w:rsid w:val="38B04451"/>
    <w:rsid w:val="38CC35B4"/>
    <w:rsid w:val="392E1583"/>
    <w:rsid w:val="3933207C"/>
    <w:rsid w:val="394B37F2"/>
    <w:rsid w:val="39985F30"/>
    <w:rsid w:val="399A0CEC"/>
    <w:rsid w:val="39D3500A"/>
    <w:rsid w:val="39D96419"/>
    <w:rsid w:val="39E55169"/>
    <w:rsid w:val="39E84553"/>
    <w:rsid w:val="3A094E52"/>
    <w:rsid w:val="3A3E4729"/>
    <w:rsid w:val="3A4F100A"/>
    <w:rsid w:val="3A675D63"/>
    <w:rsid w:val="3A72464D"/>
    <w:rsid w:val="3A9F7948"/>
    <w:rsid w:val="3AA02CE4"/>
    <w:rsid w:val="3AA628ED"/>
    <w:rsid w:val="3ABA4B72"/>
    <w:rsid w:val="3ABB47FA"/>
    <w:rsid w:val="3AC76FD5"/>
    <w:rsid w:val="3ACE1617"/>
    <w:rsid w:val="3AD31906"/>
    <w:rsid w:val="3AD969F8"/>
    <w:rsid w:val="3AFD1BC4"/>
    <w:rsid w:val="3B4C1D80"/>
    <w:rsid w:val="3B4C622A"/>
    <w:rsid w:val="3B822235"/>
    <w:rsid w:val="3BC25680"/>
    <w:rsid w:val="3BE16ECF"/>
    <w:rsid w:val="3C343013"/>
    <w:rsid w:val="3C4B0ED5"/>
    <w:rsid w:val="3CA91418"/>
    <w:rsid w:val="3CBD75BF"/>
    <w:rsid w:val="3CC33BCC"/>
    <w:rsid w:val="3CD641A1"/>
    <w:rsid w:val="3CE2490A"/>
    <w:rsid w:val="3CEA648A"/>
    <w:rsid w:val="3D1502D9"/>
    <w:rsid w:val="3D555673"/>
    <w:rsid w:val="3D5657CC"/>
    <w:rsid w:val="3D5D2E26"/>
    <w:rsid w:val="3D876DDA"/>
    <w:rsid w:val="3D8E5ECA"/>
    <w:rsid w:val="3DB21166"/>
    <w:rsid w:val="3DB52FFB"/>
    <w:rsid w:val="3DB932B8"/>
    <w:rsid w:val="3DDF3C84"/>
    <w:rsid w:val="3DF55B8D"/>
    <w:rsid w:val="3DF740D2"/>
    <w:rsid w:val="3E2942BE"/>
    <w:rsid w:val="3E300439"/>
    <w:rsid w:val="3E320B89"/>
    <w:rsid w:val="3E3906BC"/>
    <w:rsid w:val="3E75521D"/>
    <w:rsid w:val="3E8412E9"/>
    <w:rsid w:val="3EDC10D0"/>
    <w:rsid w:val="3EE10368"/>
    <w:rsid w:val="3EF13BC7"/>
    <w:rsid w:val="3EF53D00"/>
    <w:rsid w:val="3F0C4369"/>
    <w:rsid w:val="3F2F53AA"/>
    <w:rsid w:val="3F5F1F5C"/>
    <w:rsid w:val="3F6A5EE0"/>
    <w:rsid w:val="3F746C82"/>
    <w:rsid w:val="3F9E0865"/>
    <w:rsid w:val="3FD50D82"/>
    <w:rsid w:val="402417C8"/>
    <w:rsid w:val="40372073"/>
    <w:rsid w:val="404F52A8"/>
    <w:rsid w:val="40B6211F"/>
    <w:rsid w:val="40C2573C"/>
    <w:rsid w:val="40D34024"/>
    <w:rsid w:val="412912D7"/>
    <w:rsid w:val="41366B89"/>
    <w:rsid w:val="41771599"/>
    <w:rsid w:val="41A04E11"/>
    <w:rsid w:val="420558C2"/>
    <w:rsid w:val="42057B28"/>
    <w:rsid w:val="42880654"/>
    <w:rsid w:val="428D14EF"/>
    <w:rsid w:val="4296187E"/>
    <w:rsid w:val="42A65AF0"/>
    <w:rsid w:val="42AD56C6"/>
    <w:rsid w:val="42FF71DC"/>
    <w:rsid w:val="42FF7548"/>
    <w:rsid w:val="434D155D"/>
    <w:rsid w:val="435E53D9"/>
    <w:rsid w:val="438607EE"/>
    <w:rsid w:val="4394491A"/>
    <w:rsid w:val="43BD5DE5"/>
    <w:rsid w:val="43D65E39"/>
    <w:rsid w:val="43D6606E"/>
    <w:rsid w:val="441111D7"/>
    <w:rsid w:val="444D54BA"/>
    <w:rsid w:val="44742FDB"/>
    <w:rsid w:val="449D508C"/>
    <w:rsid w:val="44B15AF7"/>
    <w:rsid w:val="44B36E39"/>
    <w:rsid w:val="44EC7013"/>
    <w:rsid w:val="44FB3AE3"/>
    <w:rsid w:val="45427AA4"/>
    <w:rsid w:val="45564CA5"/>
    <w:rsid w:val="455B6233"/>
    <w:rsid w:val="456A6A48"/>
    <w:rsid w:val="457C3D14"/>
    <w:rsid w:val="45865E2C"/>
    <w:rsid w:val="45911A43"/>
    <w:rsid w:val="45A24E61"/>
    <w:rsid w:val="45E2490A"/>
    <w:rsid w:val="45F10EC5"/>
    <w:rsid w:val="4676381B"/>
    <w:rsid w:val="467744FD"/>
    <w:rsid w:val="46A9603F"/>
    <w:rsid w:val="46AF30F0"/>
    <w:rsid w:val="46E12276"/>
    <w:rsid w:val="46F51A7F"/>
    <w:rsid w:val="47140188"/>
    <w:rsid w:val="473822E0"/>
    <w:rsid w:val="476B7898"/>
    <w:rsid w:val="47B32E9C"/>
    <w:rsid w:val="48212AE9"/>
    <w:rsid w:val="486C4CE7"/>
    <w:rsid w:val="489713C3"/>
    <w:rsid w:val="48A262B1"/>
    <w:rsid w:val="48BA3284"/>
    <w:rsid w:val="48C54A39"/>
    <w:rsid w:val="48CB1CC0"/>
    <w:rsid w:val="48D45F30"/>
    <w:rsid w:val="49013C23"/>
    <w:rsid w:val="49163580"/>
    <w:rsid w:val="492A1BD4"/>
    <w:rsid w:val="49582843"/>
    <w:rsid w:val="49733467"/>
    <w:rsid w:val="49A418F2"/>
    <w:rsid w:val="49C8100A"/>
    <w:rsid w:val="49FF2037"/>
    <w:rsid w:val="49FF78D4"/>
    <w:rsid w:val="4A270A04"/>
    <w:rsid w:val="4A6F608D"/>
    <w:rsid w:val="4A885CE1"/>
    <w:rsid w:val="4ABE4F66"/>
    <w:rsid w:val="4ADB4E28"/>
    <w:rsid w:val="4AF75899"/>
    <w:rsid w:val="4B2517BD"/>
    <w:rsid w:val="4B333D7A"/>
    <w:rsid w:val="4B5523AC"/>
    <w:rsid w:val="4BC74E08"/>
    <w:rsid w:val="4BD07997"/>
    <w:rsid w:val="4BF03FFD"/>
    <w:rsid w:val="4C352DA8"/>
    <w:rsid w:val="4C6F66E5"/>
    <w:rsid w:val="4C786851"/>
    <w:rsid w:val="4C942881"/>
    <w:rsid w:val="4CD020F9"/>
    <w:rsid w:val="4D0B17EF"/>
    <w:rsid w:val="4D2F7723"/>
    <w:rsid w:val="4D406BD1"/>
    <w:rsid w:val="4D5047B5"/>
    <w:rsid w:val="4D605A45"/>
    <w:rsid w:val="4DF521AC"/>
    <w:rsid w:val="4E0A2800"/>
    <w:rsid w:val="4E0D58C8"/>
    <w:rsid w:val="4E222AD0"/>
    <w:rsid w:val="4E5079C5"/>
    <w:rsid w:val="4E623BD3"/>
    <w:rsid w:val="4E7906E7"/>
    <w:rsid w:val="4E837C45"/>
    <w:rsid w:val="4E993495"/>
    <w:rsid w:val="4EA30D9D"/>
    <w:rsid w:val="4EB2058C"/>
    <w:rsid w:val="4EB60C48"/>
    <w:rsid w:val="4EEF1B44"/>
    <w:rsid w:val="4F0A27C3"/>
    <w:rsid w:val="4F165D52"/>
    <w:rsid w:val="4F1D369F"/>
    <w:rsid w:val="4F290247"/>
    <w:rsid w:val="4F323CD2"/>
    <w:rsid w:val="4F332C0A"/>
    <w:rsid w:val="4F433DC8"/>
    <w:rsid w:val="4FA14EEC"/>
    <w:rsid w:val="4FA84227"/>
    <w:rsid w:val="4FE223EE"/>
    <w:rsid w:val="501F59A7"/>
    <w:rsid w:val="503D3F59"/>
    <w:rsid w:val="5095674A"/>
    <w:rsid w:val="50977BEB"/>
    <w:rsid w:val="50A01EE7"/>
    <w:rsid w:val="50A6221C"/>
    <w:rsid w:val="50AC4C20"/>
    <w:rsid w:val="50B61B8B"/>
    <w:rsid w:val="50C577D9"/>
    <w:rsid w:val="50D00E83"/>
    <w:rsid w:val="50E00158"/>
    <w:rsid w:val="50E8434B"/>
    <w:rsid w:val="50F0291C"/>
    <w:rsid w:val="51286AE9"/>
    <w:rsid w:val="516C5BB7"/>
    <w:rsid w:val="51881606"/>
    <w:rsid w:val="518E2820"/>
    <w:rsid w:val="51AC5137"/>
    <w:rsid w:val="51B463DB"/>
    <w:rsid w:val="51C31254"/>
    <w:rsid w:val="51C979DD"/>
    <w:rsid w:val="51DE0E31"/>
    <w:rsid w:val="52021C68"/>
    <w:rsid w:val="520A22AE"/>
    <w:rsid w:val="52247A0F"/>
    <w:rsid w:val="523D42DD"/>
    <w:rsid w:val="52853336"/>
    <w:rsid w:val="52881D50"/>
    <w:rsid w:val="529B3EC4"/>
    <w:rsid w:val="52DB19FD"/>
    <w:rsid w:val="52EE339D"/>
    <w:rsid w:val="5306292A"/>
    <w:rsid w:val="530822C8"/>
    <w:rsid w:val="533E1E81"/>
    <w:rsid w:val="536F3F83"/>
    <w:rsid w:val="53707DDE"/>
    <w:rsid w:val="537E0058"/>
    <w:rsid w:val="538C44BA"/>
    <w:rsid w:val="53950AA6"/>
    <w:rsid w:val="539664E6"/>
    <w:rsid w:val="53C502CE"/>
    <w:rsid w:val="53E64B1C"/>
    <w:rsid w:val="53E8652B"/>
    <w:rsid w:val="53EB486A"/>
    <w:rsid w:val="53EE67E9"/>
    <w:rsid w:val="53FD1C03"/>
    <w:rsid w:val="540817F6"/>
    <w:rsid w:val="543F413B"/>
    <w:rsid w:val="54591CDE"/>
    <w:rsid w:val="54625354"/>
    <w:rsid w:val="54C83EB4"/>
    <w:rsid w:val="54D43100"/>
    <w:rsid w:val="55942252"/>
    <w:rsid w:val="55EC2897"/>
    <w:rsid w:val="5652511E"/>
    <w:rsid w:val="56543A0D"/>
    <w:rsid w:val="566B50BC"/>
    <w:rsid w:val="56A4132F"/>
    <w:rsid w:val="56AF2E6F"/>
    <w:rsid w:val="56F37D3E"/>
    <w:rsid w:val="56F473C0"/>
    <w:rsid w:val="56FD3D8C"/>
    <w:rsid w:val="570B6550"/>
    <w:rsid w:val="57196157"/>
    <w:rsid w:val="57745BB6"/>
    <w:rsid w:val="578A1BF3"/>
    <w:rsid w:val="57BD6C04"/>
    <w:rsid w:val="57C51573"/>
    <w:rsid w:val="57DE28CC"/>
    <w:rsid w:val="57EF118B"/>
    <w:rsid w:val="57F465F5"/>
    <w:rsid w:val="57FF606E"/>
    <w:rsid w:val="580716CC"/>
    <w:rsid w:val="58220A26"/>
    <w:rsid w:val="58381DBD"/>
    <w:rsid w:val="58510290"/>
    <w:rsid w:val="58B91125"/>
    <w:rsid w:val="58C114A9"/>
    <w:rsid w:val="58C64CF3"/>
    <w:rsid w:val="58CB3B78"/>
    <w:rsid w:val="59093ABF"/>
    <w:rsid w:val="590D2328"/>
    <w:rsid w:val="59232C0B"/>
    <w:rsid w:val="59336A38"/>
    <w:rsid w:val="594D06B7"/>
    <w:rsid w:val="598D03EC"/>
    <w:rsid w:val="59C83A39"/>
    <w:rsid w:val="59EC1A14"/>
    <w:rsid w:val="5A361544"/>
    <w:rsid w:val="5A3F108A"/>
    <w:rsid w:val="5A6D76C0"/>
    <w:rsid w:val="5A723A0D"/>
    <w:rsid w:val="5A762255"/>
    <w:rsid w:val="5A9D621A"/>
    <w:rsid w:val="5AB17106"/>
    <w:rsid w:val="5ACF40CD"/>
    <w:rsid w:val="5B443E9C"/>
    <w:rsid w:val="5B707739"/>
    <w:rsid w:val="5B956906"/>
    <w:rsid w:val="5BCE4EA4"/>
    <w:rsid w:val="5BD637EC"/>
    <w:rsid w:val="5BDE5A43"/>
    <w:rsid w:val="5BE0323A"/>
    <w:rsid w:val="5C1B7F5F"/>
    <w:rsid w:val="5C34166A"/>
    <w:rsid w:val="5C4A36B7"/>
    <w:rsid w:val="5C4E44D4"/>
    <w:rsid w:val="5CE536CF"/>
    <w:rsid w:val="5D0576C4"/>
    <w:rsid w:val="5D230368"/>
    <w:rsid w:val="5D255730"/>
    <w:rsid w:val="5D5667E0"/>
    <w:rsid w:val="5D580881"/>
    <w:rsid w:val="5DA13534"/>
    <w:rsid w:val="5DCB56EC"/>
    <w:rsid w:val="5E1463C6"/>
    <w:rsid w:val="5E4B7A1D"/>
    <w:rsid w:val="5E50050F"/>
    <w:rsid w:val="5E68591D"/>
    <w:rsid w:val="5E7B5776"/>
    <w:rsid w:val="5E9E597C"/>
    <w:rsid w:val="5EA97C8F"/>
    <w:rsid w:val="5ECF0E88"/>
    <w:rsid w:val="5F0936DE"/>
    <w:rsid w:val="5F171517"/>
    <w:rsid w:val="5F7D16C2"/>
    <w:rsid w:val="5F892553"/>
    <w:rsid w:val="6046706E"/>
    <w:rsid w:val="60492B3E"/>
    <w:rsid w:val="6089047C"/>
    <w:rsid w:val="60A859A2"/>
    <w:rsid w:val="60AB29AA"/>
    <w:rsid w:val="60AC67BD"/>
    <w:rsid w:val="60C06489"/>
    <w:rsid w:val="61145260"/>
    <w:rsid w:val="612354B4"/>
    <w:rsid w:val="6127356D"/>
    <w:rsid w:val="615A223E"/>
    <w:rsid w:val="615B47A6"/>
    <w:rsid w:val="616435A6"/>
    <w:rsid w:val="61A6014E"/>
    <w:rsid w:val="61D63921"/>
    <w:rsid w:val="61E66E9F"/>
    <w:rsid w:val="61F443E9"/>
    <w:rsid w:val="62213533"/>
    <w:rsid w:val="62270D05"/>
    <w:rsid w:val="62461BF2"/>
    <w:rsid w:val="62607426"/>
    <w:rsid w:val="629D7EE8"/>
    <w:rsid w:val="62D50998"/>
    <w:rsid w:val="62E7507D"/>
    <w:rsid w:val="62F67597"/>
    <w:rsid w:val="630C34D0"/>
    <w:rsid w:val="6322080B"/>
    <w:rsid w:val="639215D8"/>
    <w:rsid w:val="63A36BE5"/>
    <w:rsid w:val="63E5033D"/>
    <w:rsid w:val="63EE162B"/>
    <w:rsid w:val="63F75B8A"/>
    <w:rsid w:val="64031B91"/>
    <w:rsid w:val="641B0760"/>
    <w:rsid w:val="64203CB4"/>
    <w:rsid w:val="64222857"/>
    <w:rsid w:val="64335EB1"/>
    <w:rsid w:val="644B25BC"/>
    <w:rsid w:val="646D6D40"/>
    <w:rsid w:val="647F6D16"/>
    <w:rsid w:val="64D0513C"/>
    <w:rsid w:val="64EB1866"/>
    <w:rsid w:val="64F702F2"/>
    <w:rsid w:val="651424EE"/>
    <w:rsid w:val="65287A29"/>
    <w:rsid w:val="655E1155"/>
    <w:rsid w:val="655F4773"/>
    <w:rsid w:val="65636455"/>
    <w:rsid w:val="65A240BE"/>
    <w:rsid w:val="65A273A9"/>
    <w:rsid w:val="65AE5114"/>
    <w:rsid w:val="65CB5A52"/>
    <w:rsid w:val="65CC2C9F"/>
    <w:rsid w:val="65CF79A4"/>
    <w:rsid w:val="662861DC"/>
    <w:rsid w:val="66286B79"/>
    <w:rsid w:val="66306F43"/>
    <w:rsid w:val="66326E97"/>
    <w:rsid w:val="665265F4"/>
    <w:rsid w:val="66870AB5"/>
    <w:rsid w:val="6699652A"/>
    <w:rsid w:val="66A93110"/>
    <w:rsid w:val="66AF2B2C"/>
    <w:rsid w:val="672513DF"/>
    <w:rsid w:val="672833FF"/>
    <w:rsid w:val="67447CAA"/>
    <w:rsid w:val="6772565E"/>
    <w:rsid w:val="67924358"/>
    <w:rsid w:val="679D7D9D"/>
    <w:rsid w:val="67B84A87"/>
    <w:rsid w:val="67E967D4"/>
    <w:rsid w:val="67EA1DE2"/>
    <w:rsid w:val="67F51F5D"/>
    <w:rsid w:val="681C0F9C"/>
    <w:rsid w:val="68280A59"/>
    <w:rsid w:val="685448E5"/>
    <w:rsid w:val="685A52F7"/>
    <w:rsid w:val="686F32ED"/>
    <w:rsid w:val="68763CFB"/>
    <w:rsid w:val="68775B46"/>
    <w:rsid w:val="68A56B94"/>
    <w:rsid w:val="68AB1911"/>
    <w:rsid w:val="68CC74D0"/>
    <w:rsid w:val="68DD058C"/>
    <w:rsid w:val="68E84B74"/>
    <w:rsid w:val="690300E6"/>
    <w:rsid w:val="692563EE"/>
    <w:rsid w:val="692D6BB4"/>
    <w:rsid w:val="693939D1"/>
    <w:rsid w:val="6965727E"/>
    <w:rsid w:val="69785369"/>
    <w:rsid w:val="69A40553"/>
    <w:rsid w:val="69D9569F"/>
    <w:rsid w:val="69F076EC"/>
    <w:rsid w:val="6A3001E9"/>
    <w:rsid w:val="6A55161C"/>
    <w:rsid w:val="6A6443DC"/>
    <w:rsid w:val="6A65568E"/>
    <w:rsid w:val="6A8213EE"/>
    <w:rsid w:val="6A9553FE"/>
    <w:rsid w:val="6AC30E38"/>
    <w:rsid w:val="6ADB66AC"/>
    <w:rsid w:val="6B3816B9"/>
    <w:rsid w:val="6B570F9E"/>
    <w:rsid w:val="6B704D44"/>
    <w:rsid w:val="6B7A4A17"/>
    <w:rsid w:val="6B7F1BF6"/>
    <w:rsid w:val="6B9512FD"/>
    <w:rsid w:val="6BB554FE"/>
    <w:rsid w:val="6BB87BB7"/>
    <w:rsid w:val="6BC12EDC"/>
    <w:rsid w:val="6BE255D8"/>
    <w:rsid w:val="6BE76A97"/>
    <w:rsid w:val="6BF054D3"/>
    <w:rsid w:val="6BF056A3"/>
    <w:rsid w:val="6BF43FAF"/>
    <w:rsid w:val="6C1363EA"/>
    <w:rsid w:val="6C1F175D"/>
    <w:rsid w:val="6C3E480C"/>
    <w:rsid w:val="6C4A4478"/>
    <w:rsid w:val="6C5002D5"/>
    <w:rsid w:val="6C83219C"/>
    <w:rsid w:val="6C833B41"/>
    <w:rsid w:val="6C9803A4"/>
    <w:rsid w:val="6D243939"/>
    <w:rsid w:val="6D447778"/>
    <w:rsid w:val="6D620170"/>
    <w:rsid w:val="6D84645E"/>
    <w:rsid w:val="6D8F437E"/>
    <w:rsid w:val="6D990245"/>
    <w:rsid w:val="6DB46943"/>
    <w:rsid w:val="6DC62455"/>
    <w:rsid w:val="6E5231A4"/>
    <w:rsid w:val="6E5A40EE"/>
    <w:rsid w:val="6E671D27"/>
    <w:rsid w:val="6E7D48F4"/>
    <w:rsid w:val="6E9C16AF"/>
    <w:rsid w:val="6E9D390D"/>
    <w:rsid w:val="6EE10B05"/>
    <w:rsid w:val="6F0472BB"/>
    <w:rsid w:val="6F206808"/>
    <w:rsid w:val="6F537CC8"/>
    <w:rsid w:val="6F5B3B07"/>
    <w:rsid w:val="6F7A7501"/>
    <w:rsid w:val="6F7B5D89"/>
    <w:rsid w:val="6FAD23B4"/>
    <w:rsid w:val="6FAD5E72"/>
    <w:rsid w:val="6FD101F3"/>
    <w:rsid w:val="6FE54985"/>
    <w:rsid w:val="6FEC7554"/>
    <w:rsid w:val="6FF1283A"/>
    <w:rsid w:val="717C638C"/>
    <w:rsid w:val="719B216D"/>
    <w:rsid w:val="71B752EE"/>
    <w:rsid w:val="72106F1F"/>
    <w:rsid w:val="72322D34"/>
    <w:rsid w:val="724062B5"/>
    <w:rsid w:val="724F46F0"/>
    <w:rsid w:val="7255143F"/>
    <w:rsid w:val="726436E6"/>
    <w:rsid w:val="72700C83"/>
    <w:rsid w:val="727E6483"/>
    <w:rsid w:val="728003C9"/>
    <w:rsid w:val="728453D5"/>
    <w:rsid w:val="729B79DD"/>
    <w:rsid w:val="72F91A90"/>
    <w:rsid w:val="738F0854"/>
    <w:rsid w:val="73A05C9A"/>
    <w:rsid w:val="73B02110"/>
    <w:rsid w:val="73CE0E30"/>
    <w:rsid w:val="73F95D4E"/>
    <w:rsid w:val="74044161"/>
    <w:rsid w:val="740E47AA"/>
    <w:rsid w:val="74194164"/>
    <w:rsid w:val="742D6B25"/>
    <w:rsid w:val="744446C4"/>
    <w:rsid w:val="747E2170"/>
    <w:rsid w:val="74994FF2"/>
    <w:rsid w:val="74BA0C6B"/>
    <w:rsid w:val="74EE31EA"/>
    <w:rsid w:val="75350693"/>
    <w:rsid w:val="7546677D"/>
    <w:rsid w:val="754B2AC0"/>
    <w:rsid w:val="757031D9"/>
    <w:rsid w:val="75842DFC"/>
    <w:rsid w:val="75BE0722"/>
    <w:rsid w:val="76437D02"/>
    <w:rsid w:val="765120A6"/>
    <w:rsid w:val="767F05D4"/>
    <w:rsid w:val="76BF7D3D"/>
    <w:rsid w:val="76E955C3"/>
    <w:rsid w:val="77123ACC"/>
    <w:rsid w:val="77247924"/>
    <w:rsid w:val="772B1B20"/>
    <w:rsid w:val="77510935"/>
    <w:rsid w:val="77634F3B"/>
    <w:rsid w:val="77D62A56"/>
    <w:rsid w:val="77E62733"/>
    <w:rsid w:val="77F84B71"/>
    <w:rsid w:val="780E1955"/>
    <w:rsid w:val="78293DC3"/>
    <w:rsid w:val="782D2D9B"/>
    <w:rsid w:val="783C20BA"/>
    <w:rsid w:val="783F4F70"/>
    <w:rsid w:val="785D218D"/>
    <w:rsid w:val="78B8567C"/>
    <w:rsid w:val="78F7615B"/>
    <w:rsid w:val="78FD2962"/>
    <w:rsid w:val="79307089"/>
    <w:rsid w:val="7954036F"/>
    <w:rsid w:val="7963139E"/>
    <w:rsid w:val="798B23A6"/>
    <w:rsid w:val="79A86542"/>
    <w:rsid w:val="79AD3424"/>
    <w:rsid w:val="79D00261"/>
    <w:rsid w:val="79EC33C3"/>
    <w:rsid w:val="7A1C4DC7"/>
    <w:rsid w:val="7A3A078E"/>
    <w:rsid w:val="7A45124E"/>
    <w:rsid w:val="7A4C7BCA"/>
    <w:rsid w:val="7A850292"/>
    <w:rsid w:val="7A864059"/>
    <w:rsid w:val="7A991285"/>
    <w:rsid w:val="7A9B518C"/>
    <w:rsid w:val="7AB2157C"/>
    <w:rsid w:val="7AC528C4"/>
    <w:rsid w:val="7AE80992"/>
    <w:rsid w:val="7AE9752E"/>
    <w:rsid w:val="7AF51135"/>
    <w:rsid w:val="7B0320BB"/>
    <w:rsid w:val="7B1E76B6"/>
    <w:rsid w:val="7B5204F9"/>
    <w:rsid w:val="7B6E3852"/>
    <w:rsid w:val="7BCD7043"/>
    <w:rsid w:val="7BDA2B39"/>
    <w:rsid w:val="7C7F4F3C"/>
    <w:rsid w:val="7C9C55B4"/>
    <w:rsid w:val="7CA544A2"/>
    <w:rsid w:val="7CCD67D7"/>
    <w:rsid w:val="7CF45745"/>
    <w:rsid w:val="7D4D5856"/>
    <w:rsid w:val="7DAA16F6"/>
    <w:rsid w:val="7DE00447"/>
    <w:rsid w:val="7DE14EF9"/>
    <w:rsid w:val="7E183EEA"/>
    <w:rsid w:val="7E440B2B"/>
    <w:rsid w:val="7E6752B6"/>
    <w:rsid w:val="7E80292D"/>
    <w:rsid w:val="7E84382C"/>
    <w:rsid w:val="7E855AE7"/>
    <w:rsid w:val="7E9D718F"/>
    <w:rsid w:val="7EA7411B"/>
    <w:rsid w:val="7EA874D5"/>
    <w:rsid w:val="7EAA0221"/>
    <w:rsid w:val="7EB02A3C"/>
    <w:rsid w:val="7F251450"/>
    <w:rsid w:val="7F381A47"/>
    <w:rsid w:val="7F3932D6"/>
    <w:rsid w:val="7F3B3199"/>
    <w:rsid w:val="7F3D07F6"/>
    <w:rsid w:val="7F613C7E"/>
    <w:rsid w:val="7F827F3A"/>
    <w:rsid w:val="7F911B88"/>
    <w:rsid w:val="7F912BF1"/>
    <w:rsid w:val="7FA4150B"/>
    <w:rsid w:val="7FA51FBB"/>
    <w:rsid w:val="7FCC65E5"/>
    <w:rsid w:val="7FEF7F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unhideWhenUsed/>
    <w:qFormat/>
    <w:uiPriority w:val="99"/>
    <w:pPr>
      <w:spacing w:line="240" w:lineRule="auto"/>
    </w:pPr>
    <w:rPr>
      <w:szCs w:val="20"/>
    </w:rPr>
  </w:style>
  <w:style w:type="paragraph" w:styleId="21">
    <w:name w:val="List 2"/>
    <w:basedOn w:val="22"/>
    <w:qFormat/>
    <w:uiPriority w:val="99"/>
    <w:pPr>
      <w:ind w:left="851"/>
    </w:pPr>
  </w:style>
  <w:style w:type="paragraph" w:styleId="22">
    <w:name w:val="List"/>
    <w:basedOn w:val="1"/>
    <w:qFormat/>
    <w:uiPriority w:val="0"/>
    <w:pPr>
      <w:ind w:left="568" w:hanging="284"/>
    </w:pPr>
  </w:style>
  <w:style w:type="paragraph" w:styleId="23">
    <w:name w:val="toc 8"/>
    <w:basedOn w:val="18"/>
    <w:next w:val="1"/>
    <w:qFormat/>
    <w:uiPriority w:val="39"/>
    <w:pPr>
      <w:spacing w:before="180"/>
      <w:ind w:left="2693" w:hanging="2693"/>
    </w:pPr>
    <w:rPr>
      <w:b/>
    </w:rPr>
  </w:style>
  <w:style w:type="paragraph" w:styleId="24">
    <w:name w:val="Balloon Text"/>
    <w:basedOn w:val="1"/>
    <w:link w:val="69"/>
    <w:qFormat/>
    <w:uiPriority w:val="0"/>
    <w:pPr>
      <w:spacing w:after="0"/>
    </w:pPr>
    <w:rPr>
      <w:rFonts w:ascii="Segoe UI" w:hAnsi="Segoe UI" w:cs="Segoe UI"/>
      <w:sz w:val="18"/>
      <w:szCs w:val="18"/>
    </w:rPr>
  </w:style>
  <w:style w:type="paragraph" w:styleId="25">
    <w:name w:val="footer"/>
    <w:basedOn w:val="1"/>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7">
    <w:name w:val="toc 9"/>
    <w:basedOn w:val="23"/>
    <w:next w:val="1"/>
    <w:qFormat/>
    <w:uiPriority w:val="39"/>
    <w:pPr>
      <w:ind w:left="1418" w:hanging="1418"/>
    </w:p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page number"/>
    <w:basedOn w:val="30"/>
    <w:semiHidden/>
    <w:qFormat/>
    <w:uiPriority w:val="0"/>
  </w:style>
  <w:style w:type="character" w:styleId="32">
    <w:name w:val="FollowedHyperlink"/>
    <w:basedOn w:val="30"/>
    <w:qFormat/>
    <w:uiPriority w:val="0"/>
    <w:rPr>
      <w:color w:val="954F72" w:themeColor="followedHyperlink"/>
      <w:u w:val="single"/>
      <w14:textFill>
        <w14:solidFill>
          <w14:schemeClr w14:val="folHlink"/>
        </w14:solidFill>
      </w14:textFill>
    </w:rPr>
  </w:style>
  <w:style w:type="character" w:styleId="33">
    <w:name w:val="Hyperlink"/>
    <w:basedOn w:val="30"/>
    <w:qFormat/>
    <w:uiPriority w:val="0"/>
    <w:rPr>
      <w:color w:val="0563C1" w:themeColor="hyperlink"/>
      <w:u w:val="single"/>
      <w14:textFill>
        <w14:solidFill>
          <w14:schemeClr w14:val="hlink"/>
        </w14:solidFill>
      </w14:textFill>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2"/>
    <w:qFormat/>
    <w:uiPriority w:val="0"/>
    <w:pPr>
      <w:ind w:left="568" w:hanging="284"/>
    </w:pPr>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1">
    <w:name w:val="B2"/>
    <w:basedOn w:val="2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Balloon Text Char"/>
    <w:link w:val="24"/>
    <w:qFormat/>
    <w:uiPriority w:val="0"/>
    <w:rPr>
      <w:rFonts w:ascii="Segoe UI" w:hAnsi="Segoe UI" w:cs="Segoe UI"/>
      <w:sz w:val="18"/>
      <w:szCs w:val="18"/>
      <w:lang w:eastAsia="en-US"/>
    </w:rPr>
  </w:style>
  <w:style w:type="character" w:customStyle="1" w:styleId="70">
    <w:name w:val="Unresolved Mention"/>
    <w:basedOn w:val="30"/>
    <w:semiHidden/>
    <w:unhideWhenUsed/>
    <w:qFormat/>
    <w:uiPriority w:val="99"/>
    <w:rPr>
      <w:color w:val="605E5C"/>
      <w:shd w:val="clear" w:color="auto" w:fill="E1DFDD"/>
    </w:rPr>
  </w:style>
  <w:style w:type="paragraph" w:styleId="71">
    <w:name w:val="List Paragraph"/>
    <w:basedOn w:val="1"/>
    <w:link w:val="72"/>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2">
    <w:name w:val="List Paragraph Char"/>
    <w:link w:val="71"/>
    <w:qFormat/>
    <w:locked/>
    <w:uiPriority w:val="34"/>
    <w:rPr>
      <w:rFonts w:asciiTheme="minorHAnsi" w:hAnsiTheme="minorHAnsi" w:eastAsiaTheme="minorHAnsi" w:cstheme="minorBidi"/>
      <w:sz w:val="22"/>
      <w:szCs w:val="22"/>
      <w:lang w:val="sv-SE" w:eastAsia="en-US"/>
    </w:rPr>
  </w:style>
  <w:style w:type="paragraph" w:customStyle="1" w:styleId="73">
    <w:name w:val="CR Cover Page"/>
    <w:link w:val="74"/>
    <w:qFormat/>
    <w:uiPriority w:val="0"/>
    <w:pPr>
      <w:spacing w:after="120"/>
    </w:pPr>
    <w:rPr>
      <w:rFonts w:ascii="Arial" w:hAnsi="Arial" w:eastAsia="Times New Roman" w:cs="Times New Roman"/>
      <w:lang w:val="en-GB" w:eastAsia="en-US" w:bidi="ar-SA"/>
    </w:rPr>
  </w:style>
  <w:style w:type="character" w:customStyle="1" w:styleId="74">
    <w:name w:val="CR Cover Page Char"/>
    <w:link w:val="73"/>
    <w:qFormat/>
    <w:uiPriority w:val="0"/>
    <w:rPr>
      <w:rFonts w:ascii="Arial" w:hAnsi="Arial"/>
      <w:lang w:eastAsia="en-US"/>
    </w:rPr>
  </w:style>
  <w:style w:type="paragraph" w:customStyle="1" w:styleId="75">
    <w:name w:val="RAN4 H1"/>
    <w:basedOn w:val="1"/>
    <w:next w:val="1"/>
    <w:link w:val="76"/>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6">
    <w:name w:val="RAN4 H1 Char"/>
    <w:basedOn w:val="30"/>
    <w:link w:val="75"/>
    <w:qFormat/>
    <w:uiPriority w:val="0"/>
    <w:rPr>
      <w:rFonts w:ascii="Arial" w:hAnsi="Arial" w:eastAsia="宋体" w:cs="Times New Roman"/>
      <w:sz w:val="36"/>
      <w:szCs w:val="20"/>
      <w:lang w:val="en-GB"/>
    </w:rPr>
  </w:style>
  <w:style w:type="paragraph" w:customStyle="1" w:styleId="77">
    <w:name w:val="RAN4 H2"/>
    <w:basedOn w:val="3"/>
    <w:next w:val="1"/>
    <w:qFormat/>
    <w:uiPriority w:val="0"/>
    <w:pPr>
      <w:numPr>
        <w:ilvl w:val="1"/>
        <w:numId w:val="1"/>
      </w:numPr>
      <w:ind w:left="431" w:hanging="431"/>
    </w:pPr>
    <w:rPr>
      <w:lang w:val="en-US"/>
    </w:rPr>
  </w:style>
  <w:style w:type="paragraph" w:customStyle="1" w:styleId="78">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79">
    <w:name w:val="Reference"/>
    <w:basedOn w:val="1"/>
    <w:qFormat/>
    <w:uiPriority w:val="0"/>
    <w:pPr>
      <w:overflowPunct/>
      <w:autoSpaceDE/>
      <w:autoSpaceDN/>
      <w:adjustRightInd/>
      <w:spacing w:after="0"/>
      <w:ind w:left="567" w:hanging="283"/>
      <w:textAlignment w:val="auto"/>
    </w:pPr>
    <w:rPr>
      <w:lang w:eastAsia="en-GB"/>
    </w:rPr>
  </w:style>
  <w:style w:type="paragraph" w:customStyle="1" w:styleId="80">
    <w:name w:val="正文3"/>
    <w:qFormat/>
    <w:uiPriority w:val="0"/>
    <w:pPr>
      <w:spacing w:before="120" w:after="120"/>
    </w:pPr>
    <w:rPr>
      <w:rFonts w:ascii="Times New Roman" w:hAnsi="Times New Roman" w:eastAsia="等线" w:cs="Times New Roman"/>
      <w:kern w:val="2"/>
      <w:sz w:val="20"/>
      <w:szCs w:val="20"/>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8</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2023-02-17T09:24:15Z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